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085B5E" w14:textId="77777777" w:rsidR="00A91E23" w:rsidRPr="00C20872" w:rsidRDefault="00A91E23" w:rsidP="00A91E23">
      <w:pPr>
        <w:jc w:val="center"/>
        <w:rPr>
          <w:b/>
          <w:bCs/>
          <w:sz w:val="32"/>
          <w:szCs w:val="32"/>
          <w:lang w:val="en-GB"/>
        </w:rPr>
      </w:pPr>
      <w:bookmarkStart w:id="0" w:name="_GoBack"/>
      <w:bookmarkEnd w:id="0"/>
      <w:r w:rsidRPr="00C20872">
        <w:rPr>
          <w:b/>
          <w:bCs/>
          <w:sz w:val="32"/>
          <w:szCs w:val="32"/>
          <w:lang w:val="en-GB"/>
        </w:rPr>
        <w:t>Estimati</w:t>
      </w:r>
      <w:r w:rsidR="00C20872" w:rsidRPr="00C20872">
        <w:rPr>
          <w:b/>
          <w:bCs/>
          <w:sz w:val="32"/>
          <w:szCs w:val="32"/>
          <w:lang w:val="en-GB"/>
        </w:rPr>
        <w:t xml:space="preserve">ng the effects of the container </w:t>
      </w:r>
      <w:r w:rsidRPr="00C20872">
        <w:rPr>
          <w:b/>
          <w:bCs/>
          <w:sz w:val="32"/>
          <w:szCs w:val="32"/>
          <w:lang w:val="en-GB"/>
        </w:rPr>
        <w:t xml:space="preserve">revolution on </w:t>
      </w:r>
      <w:r w:rsidR="00C20872" w:rsidRPr="00C20872">
        <w:rPr>
          <w:b/>
          <w:bCs/>
          <w:sz w:val="32"/>
          <w:szCs w:val="32"/>
          <w:lang w:val="en-GB"/>
        </w:rPr>
        <w:t>world</w:t>
      </w:r>
      <w:r w:rsidRPr="00C20872">
        <w:rPr>
          <w:b/>
          <w:bCs/>
          <w:sz w:val="32"/>
          <w:szCs w:val="32"/>
          <w:lang w:val="en-GB"/>
        </w:rPr>
        <w:t xml:space="preserve"> trade</w:t>
      </w:r>
      <w:r w:rsidRPr="00C20872">
        <w:rPr>
          <w:rStyle w:val="FootnoteReference"/>
          <w:b/>
          <w:bCs/>
          <w:sz w:val="32"/>
          <w:szCs w:val="32"/>
          <w:lang w:val="en-GB"/>
        </w:rPr>
        <w:footnoteReference w:id="1"/>
      </w:r>
    </w:p>
    <w:p w14:paraId="47A61C49" w14:textId="77777777" w:rsidR="00A91E23" w:rsidRPr="00C20872" w:rsidRDefault="00A91E23" w:rsidP="00A91E23">
      <w:pPr>
        <w:rPr>
          <w:b/>
          <w:bCs/>
          <w:sz w:val="32"/>
          <w:szCs w:val="32"/>
          <w:lang w:val="en-GB"/>
        </w:rPr>
      </w:pPr>
    </w:p>
    <w:p w14:paraId="4A97EF04" w14:textId="77777777" w:rsidR="00A91E23" w:rsidRPr="00C20872" w:rsidRDefault="00A91E23" w:rsidP="00A91E23">
      <w:pPr>
        <w:jc w:val="center"/>
        <w:rPr>
          <w:b/>
          <w:bCs/>
          <w:lang w:val="en-GB"/>
        </w:rPr>
      </w:pPr>
      <w:r w:rsidRPr="00C20872">
        <w:rPr>
          <w:b/>
          <w:bCs/>
          <w:lang w:val="en-GB"/>
        </w:rPr>
        <w:t>Daniel M. Bernhofen</w:t>
      </w:r>
    </w:p>
    <w:p w14:paraId="41B945C5" w14:textId="77777777" w:rsidR="00A91E23" w:rsidRPr="00C20872" w:rsidRDefault="00A91E23" w:rsidP="00A91E23">
      <w:pPr>
        <w:jc w:val="center"/>
        <w:rPr>
          <w:b/>
          <w:bCs/>
          <w:lang w:val="en-GB"/>
        </w:rPr>
      </w:pPr>
      <w:r w:rsidRPr="00C20872">
        <w:rPr>
          <w:b/>
          <w:bCs/>
          <w:lang w:val="en-GB"/>
        </w:rPr>
        <w:t>University of Nottingham, GEP and CESifo</w:t>
      </w:r>
    </w:p>
    <w:p w14:paraId="7BB65DD2" w14:textId="77777777" w:rsidR="00A91E23" w:rsidRPr="00C20872" w:rsidRDefault="00A91E23" w:rsidP="00A91E23">
      <w:pPr>
        <w:jc w:val="center"/>
        <w:rPr>
          <w:b/>
          <w:bCs/>
          <w:lang w:val="en-GB"/>
        </w:rPr>
      </w:pPr>
    </w:p>
    <w:p w14:paraId="1E3A3787" w14:textId="77777777" w:rsidR="00A91E23" w:rsidRPr="00C20872" w:rsidRDefault="00A91E23" w:rsidP="00A91E23">
      <w:pPr>
        <w:jc w:val="center"/>
        <w:rPr>
          <w:b/>
          <w:bCs/>
          <w:lang w:val="en-GB"/>
        </w:rPr>
      </w:pPr>
      <w:r w:rsidRPr="00C20872">
        <w:rPr>
          <w:b/>
          <w:bCs/>
          <w:lang w:val="en-GB"/>
        </w:rPr>
        <w:t xml:space="preserve">Zouheir El-Sahli </w:t>
      </w:r>
    </w:p>
    <w:p w14:paraId="3A7101CC" w14:textId="77777777" w:rsidR="00A91E23" w:rsidRPr="00C20872" w:rsidRDefault="004261F8" w:rsidP="00A91E23">
      <w:pPr>
        <w:jc w:val="center"/>
        <w:rPr>
          <w:b/>
          <w:bCs/>
          <w:lang w:val="en-GB"/>
        </w:rPr>
      </w:pPr>
      <w:r w:rsidRPr="00C20872">
        <w:rPr>
          <w:b/>
          <w:bCs/>
          <w:lang w:val="en-GB"/>
        </w:rPr>
        <w:t>Lund</w:t>
      </w:r>
      <w:r w:rsidR="00A738AC">
        <w:rPr>
          <w:b/>
          <w:bCs/>
          <w:lang w:val="en-GB"/>
        </w:rPr>
        <w:t xml:space="preserve"> University</w:t>
      </w:r>
    </w:p>
    <w:p w14:paraId="1C5EBB17" w14:textId="77777777" w:rsidR="00A91E23" w:rsidRPr="00C20872" w:rsidRDefault="00A91E23" w:rsidP="00A91E23">
      <w:pPr>
        <w:jc w:val="center"/>
        <w:rPr>
          <w:b/>
          <w:bCs/>
          <w:lang w:val="en-GB"/>
        </w:rPr>
      </w:pPr>
    </w:p>
    <w:p w14:paraId="793C1BDF" w14:textId="77777777" w:rsidR="00A91E23" w:rsidRPr="00C20872" w:rsidRDefault="00A91E23" w:rsidP="00A91E23">
      <w:pPr>
        <w:jc w:val="center"/>
        <w:rPr>
          <w:b/>
          <w:bCs/>
          <w:lang w:val="en-GB"/>
        </w:rPr>
      </w:pPr>
      <w:r w:rsidRPr="00C20872">
        <w:rPr>
          <w:b/>
          <w:bCs/>
          <w:lang w:val="en-GB"/>
        </w:rPr>
        <w:t>Richard Kneller</w:t>
      </w:r>
    </w:p>
    <w:p w14:paraId="120634E6" w14:textId="77777777" w:rsidR="00A91E23" w:rsidRPr="00C20872" w:rsidRDefault="00A91E23" w:rsidP="00A91E23">
      <w:pPr>
        <w:jc w:val="center"/>
        <w:rPr>
          <w:b/>
          <w:bCs/>
          <w:lang w:val="en-GB"/>
        </w:rPr>
      </w:pPr>
      <w:r w:rsidRPr="00C20872">
        <w:rPr>
          <w:b/>
          <w:bCs/>
          <w:lang w:val="en-GB"/>
        </w:rPr>
        <w:t>University of Nottingham, GEP and CESifo</w:t>
      </w:r>
    </w:p>
    <w:p w14:paraId="13280AD6" w14:textId="77777777" w:rsidR="00A91E23" w:rsidRPr="00C20872" w:rsidRDefault="00A91E23" w:rsidP="00623D41">
      <w:pPr>
        <w:rPr>
          <w:b/>
          <w:bCs/>
          <w:lang w:val="en-GB"/>
        </w:rPr>
      </w:pPr>
    </w:p>
    <w:p w14:paraId="02347ED3" w14:textId="77777777" w:rsidR="00CA0C3C" w:rsidRPr="00C20872" w:rsidRDefault="00CD6F97" w:rsidP="00A67F8E">
      <w:pPr>
        <w:jc w:val="center"/>
        <w:rPr>
          <w:b/>
          <w:bCs/>
          <w:lang w:val="en-GB"/>
        </w:rPr>
      </w:pPr>
      <w:r>
        <w:rPr>
          <w:b/>
          <w:bCs/>
          <w:lang w:val="en-GB"/>
        </w:rPr>
        <w:t xml:space="preserve">February </w:t>
      </w:r>
      <w:r w:rsidR="00232D94">
        <w:rPr>
          <w:b/>
          <w:bCs/>
          <w:lang w:val="en-GB"/>
        </w:rPr>
        <w:t>1</w:t>
      </w:r>
      <w:r w:rsidR="003446A3">
        <w:rPr>
          <w:b/>
          <w:bCs/>
          <w:lang w:val="en-GB"/>
        </w:rPr>
        <w:t>3</w:t>
      </w:r>
      <w:r w:rsidR="00A91E23" w:rsidRPr="00C20872">
        <w:rPr>
          <w:b/>
          <w:bCs/>
          <w:lang w:val="en-GB"/>
        </w:rPr>
        <w:t>, 2012</w:t>
      </w:r>
      <w:r w:rsidR="00A91E23" w:rsidRPr="00C20872">
        <w:rPr>
          <w:rStyle w:val="FootnoteReference"/>
          <w:b/>
        </w:rPr>
        <w:footnoteReference w:id="2"/>
      </w:r>
    </w:p>
    <w:p w14:paraId="32F21847" w14:textId="77777777" w:rsidR="00514D6E" w:rsidRPr="00C20872" w:rsidRDefault="00A91E23" w:rsidP="006B5FDF">
      <w:pPr>
        <w:jc w:val="center"/>
        <w:rPr>
          <w:b/>
          <w:bCs/>
          <w:lang w:val="en-GB"/>
        </w:rPr>
      </w:pPr>
      <w:r w:rsidRPr="00C20872">
        <w:rPr>
          <w:b/>
          <w:bCs/>
          <w:lang w:val="en-GB"/>
        </w:rPr>
        <w:t>Abstract</w:t>
      </w:r>
    </w:p>
    <w:p w14:paraId="0C9A3B68" w14:textId="77777777" w:rsidR="00514D6E" w:rsidRDefault="00514D6E" w:rsidP="00A91E23">
      <w:pPr>
        <w:jc w:val="both"/>
      </w:pPr>
    </w:p>
    <w:p w14:paraId="13E5C692" w14:textId="77777777" w:rsidR="00D77613" w:rsidRDefault="00514D6E" w:rsidP="00A91E23">
      <w:pPr>
        <w:jc w:val="both"/>
      </w:pPr>
      <w:r w:rsidRPr="002C1394">
        <w:t xml:space="preserve">The introduction of containerization triggered complementary technological and organizational changes that revolutionized global freight transport.  Despite numerous claims about the importance of containerization in stimulating international trade, econometric estimates on the effects of containerization on trade appear to be missing.  Our paper fills this gap in the literature. </w:t>
      </w:r>
      <w:r>
        <w:t xml:space="preserve">Our key idea is to </w:t>
      </w:r>
      <w:r w:rsidRPr="002C1394">
        <w:t>exploit time and cross-sectional variation in countries’</w:t>
      </w:r>
      <w:r>
        <w:t xml:space="preserve"> adoption of port </w:t>
      </w:r>
      <w:r w:rsidR="002C206A">
        <w:t>or</w:t>
      </w:r>
      <w:r>
        <w:t xml:space="preserve"> railway container facilities to construct a time-varying bilateral </w:t>
      </w:r>
      <w:r w:rsidR="004C3CD3">
        <w:t>technology variable a</w:t>
      </w:r>
      <w:r>
        <w:t xml:space="preserve">nd </w:t>
      </w:r>
      <w:r w:rsidR="004C3CD3">
        <w:t>estimate its effect</w:t>
      </w:r>
      <w:r w:rsidR="007B2882">
        <w:t xml:space="preserve"> on</w:t>
      </w:r>
      <w:r w:rsidR="004C3CD3">
        <w:t xml:space="preserve"> explaining variations in bilateral product </w:t>
      </w:r>
      <w:r w:rsidR="00D77613">
        <w:t xml:space="preserve">level trade </w:t>
      </w:r>
      <w:r w:rsidR="00EE0D6C">
        <w:t xml:space="preserve">flows </w:t>
      </w:r>
      <w:r w:rsidR="004C3CD3">
        <w:t xml:space="preserve">in a large panel for the period </w:t>
      </w:r>
      <w:r w:rsidR="00A17707">
        <w:t>1962-1990.</w:t>
      </w:r>
      <w:r w:rsidR="004C3CD3">
        <w:t xml:space="preserve"> </w:t>
      </w:r>
      <w:r>
        <w:t>Our estimates suggest that containerization did not only stimulate trade in</w:t>
      </w:r>
      <w:r w:rsidR="004C3CD3">
        <w:t xml:space="preserve"> containerizable products (like auto</w:t>
      </w:r>
      <w:r w:rsidR="007B2882">
        <w:t xml:space="preserve"> </w:t>
      </w:r>
      <w:r w:rsidR="004C3CD3">
        <w:t>parts)</w:t>
      </w:r>
      <w:r w:rsidR="006B42F4">
        <w:t xml:space="preserve"> but also </w:t>
      </w:r>
      <w:r w:rsidR="007B2882">
        <w:t xml:space="preserve">had </w:t>
      </w:r>
      <w:r w:rsidR="006B42F4">
        <w:t>complementary effects on non-containerizables (like automobiles). As expected, we find larger effects on North-North trade than on North-</w:t>
      </w:r>
      <w:r w:rsidR="0083079C">
        <w:t>South</w:t>
      </w:r>
      <w:r w:rsidR="006B42F4">
        <w:t xml:space="preserve"> or </w:t>
      </w:r>
      <w:r w:rsidR="0083079C">
        <w:t>South</w:t>
      </w:r>
      <w:r w:rsidR="006B42F4">
        <w:t xml:space="preserve">-South trade and much smaller effects when ignoring railway containerization.  Regarding </w:t>
      </w:r>
      <w:r w:rsidR="004C103F">
        <w:t xml:space="preserve">North-North trade, the cumulative average treatment effects of containerization over a 20 year time period amount to </w:t>
      </w:r>
      <w:r w:rsidR="00A04FEB">
        <w:t>about</w:t>
      </w:r>
      <w:r>
        <w:t xml:space="preserve"> 700</w:t>
      </w:r>
      <w:r w:rsidR="004C103F">
        <w:t>%, can be interpreted as causal</w:t>
      </w:r>
      <w:r w:rsidR="007B2882">
        <w:t>,</w:t>
      </w:r>
      <w:r w:rsidR="004C103F">
        <w:t xml:space="preserve"> and are much larger than the </w:t>
      </w:r>
      <w:r>
        <w:t>effects of free trade agreements or the GATT</w:t>
      </w:r>
      <w:r w:rsidR="004C103F">
        <w:t xml:space="preserve">.  In a nutshell, </w:t>
      </w:r>
      <w:r w:rsidR="00E75830">
        <w:t xml:space="preserve">we provide </w:t>
      </w:r>
      <w:r w:rsidR="0024346E">
        <w:t xml:space="preserve">the </w:t>
      </w:r>
      <w:r w:rsidR="00E75830">
        <w:t>first</w:t>
      </w:r>
      <w:r w:rsidR="00B23BF0">
        <w:t xml:space="preserve"> econometric</w:t>
      </w:r>
      <w:r w:rsidR="00E75830">
        <w:t xml:space="preserve"> </w:t>
      </w:r>
      <w:r>
        <w:t xml:space="preserve">evidence for </w:t>
      </w:r>
      <w:r w:rsidR="00C5490C">
        <w:t>co</w:t>
      </w:r>
      <w:r w:rsidR="004C103F">
        <w:t xml:space="preserve">ntainerization </w:t>
      </w:r>
      <w:r w:rsidR="00E75830">
        <w:t xml:space="preserve">to be a </w:t>
      </w:r>
      <w:r w:rsidR="00C5490C">
        <w:t>driver of 20</w:t>
      </w:r>
      <w:r w:rsidR="00C5490C" w:rsidRPr="00C5490C">
        <w:rPr>
          <w:vertAlign w:val="superscript"/>
        </w:rPr>
        <w:t>th</w:t>
      </w:r>
      <w:r w:rsidR="00C5490C">
        <w:t xml:space="preserve"> century </w:t>
      </w:r>
      <w:r w:rsidR="002C206A">
        <w:t xml:space="preserve">economic </w:t>
      </w:r>
      <w:r w:rsidR="00C5490C">
        <w:t>globalization.</w:t>
      </w:r>
    </w:p>
    <w:p w14:paraId="70FF94F2" w14:textId="77777777" w:rsidR="00A91E23" w:rsidRDefault="00A91E23" w:rsidP="00A91E23">
      <w:pPr>
        <w:jc w:val="both"/>
      </w:pPr>
    </w:p>
    <w:p w14:paraId="1801F3D0" w14:textId="77777777" w:rsidR="00A91E23" w:rsidRDefault="00A91E23" w:rsidP="00A91E23">
      <w:pPr>
        <w:rPr>
          <w:sz w:val="22"/>
          <w:szCs w:val="22"/>
          <w:lang w:val="en-GB"/>
        </w:rPr>
      </w:pPr>
      <w:r>
        <w:rPr>
          <w:sz w:val="22"/>
          <w:szCs w:val="22"/>
          <w:lang w:val="en-GB"/>
        </w:rPr>
        <w:t>JEL classification: F13</w:t>
      </w:r>
    </w:p>
    <w:p w14:paraId="1DF33B9F" w14:textId="77777777" w:rsidR="00A91E23" w:rsidRDefault="00A91E23" w:rsidP="00A91E23">
      <w:pPr>
        <w:rPr>
          <w:sz w:val="22"/>
          <w:szCs w:val="22"/>
          <w:lang w:val="en-GB"/>
        </w:rPr>
      </w:pPr>
    </w:p>
    <w:p w14:paraId="1742FA10" w14:textId="77777777" w:rsidR="00A91E23" w:rsidRPr="00B53FC4" w:rsidRDefault="00A91E23" w:rsidP="00A91E23">
      <w:pPr>
        <w:rPr>
          <w:sz w:val="22"/>
          <w:szCs w:val="22"/>
          <w:lang w:val="en-GB"/>
        </w:rPr>
      </w:pPr>
      <w:r>
        <w:rPr>
          <w:sz w:val="22"/>
          <w:szCs w:val="22"/>
          <w:lang w:val="en-GB"/>
        </w:rPr>
        <w:t xml:space="preserve">Keywords: </w:t>
      </w:r>
      <w:r w:rsidR="00514D6E">
        <w:rPr>
          <w:sz w:val="22"/>
          <w:szCs w:val="22"/>
          <w:lang w:val="en-GB"/>
        </w:rPr>
        <w:t>containerization, 20</w:t>
      </w:r>
      <w:r w:rsidR="00514D6E" w:rsidRPr="00514D6E">
        <w:rPr>
          <w:sz w:val="22"/>
          <w:szCs w:val="22"/>
          <w:vertAlign w:val="superscript"/>
          <w:lang w:val="en-GB"/>
        </w:rPr>
        <w:t>th</w:t>
      </w:r>
      <w:r w:rsidR="00514D6E">
        <w:rPr>
          <w:sz w:val="22"/>
          <w:szCs w:val="22"/>
          <w:lang w:val="en-GB"/>
        </w:rPr>
        <w:t xml:space="preserve"> century global transportation infrastructu</w:t>
      </w:r>
      <w:r w:rsidR="003446A3">
        <w:rPr>
          <w:sz w:val="22"/>
          <w:szCs w:val="22"/>
          <w:lang w:val="en-GB"/>
        </w:rPr>
        <w:t>re.</w:t>
      </w:r>
      <w:r>
        <w:rPr>
          <w:sz w:val="22"/>
          <w:szCs w:val="22"/>
          <w:lang w:val="en-GB"/>
        </w:rPr>
        <w:br w:type="page"/>
      </w:r>
    </w:p>
    <w:p w14:paraId="7F7FED3C" w14:textId="77777777" w:rsidR="00A91E23" w:rsidRPr="00DD68B5" w:rsidRDefault="00A91E23" w:rsidP="00A91E23">
      <w:pPr>
        <w:spacing w:line="360" w:lineRule="auto"/>
        <w:rPr>
          <w:b/>
          <w:bCs/>
          <w:lang w:val="en-GB"/>
        </w:rPr>
      </w:pPr>
      <w:r>
        <w:rPr>
          <w:b/>
          <w:bCs/>
          <w:lang w:val="en-GB"/>
        </w:rPr>
        <w:lastRenderedPageBreak/>
        <w:t>1. Introduction</w:t>
      </w:r>
    </w:p>
    <w:p w14:paraId="69BD0431" w14:textId="77777777" w:rsidR="00C850DE" w:rsidRDefault="00A91E23" w:rsidP="00A91E23">
      <w:pPr>
        <w:spacing w:line="360" w:lineRule="auto"/>
        <w:jc w:val="both"/>
      </w:pPr>
      <w:r>
        <w:tab/>
        <w:t>One of the most striking developments in the global economy since World War II has been the tremendous growth in international trade. As shown in Figure 1, the increase in world trade accelerated dramatically during the early 1970s, with world trade growing in real terms from 0.</w:t>
      </w:r>
      <w:r w:rsidR="000532C8">
        <w:t>4</w:t>
      </w:r>
      <w:r w:rsidR="00F367AA">
        <w:t>5</w:t>
      </w:r>
      <w:r>
        <w:t xml:space="preserve"> trillion dollars in </w:t>
      </w:r>
      <w:r w:rsidR="00F367AA">
        <w:t xml:space="preserve">the early </w:t>
      </w:r>
      <w:r>
        <w:t>19</w:t>
      </w:r>
      <w:r w:rsidR="00F367AA">
        <w:t>60s</w:t>
      </w:r>
      <w:r>
        <w:t xml:space="preserve"> to 3.4 trillion dollars in 1990</w:t>
      </w:r>
      <w:r w:rsidR="00F367AA">
        <w:t xml:space="preserve">, by about a factor of 7. </w:t>
      </w:r>
      <w:r>
        <w:t xml:space="preserve">A central question is what accounts for this dramatic growth in world trade.  </w:t>
      </w:r>
      <w:r w:rsidR="00C47871">
        <w:t xml:space="preserve">Two </w:t>
      </w:r>
      <w:r w:rsidR="00DA72DE">
        <w:t xml:space="preserve">broad explanations </w:t>
      </w:r>
      <w:r>
        <w:t>ha</w:t>
      </w:r>
      <w:r w:rsidR="00C47871">
        <w:t>ve</w:t>
      </w:r>
      <w:r>
        <w:t xml:space="preserve"> </w:t>
      </w:r>
      <w:r w:rsidR="00C47871">
        <w:t xml:space="preserve">been </w:t>
      </w:r>
      <w:r>
        <w:t>identified</w:t>
      </w:r>
      <w:r w:rsidR="00C47871">
        <w:t xml:space="preserve">: </w:t>
      </w:r>
      <w:r w:rsidR="00C850DE">
        <w:t xml:space="preserve">(i) trade </w:t>
      </w:r>
      <w:r>
        <w:t>policy</w:t>
      </w:r>
      <w:r w:rsidR="00C850DE">
        <w:t xml:space="preserve"> liberalization </w:t>
      </w:r>
      <w:r>
        <w:t>and (ii) technology-led declines in transportation costs.</w:t>
      </w:r>
      <w:r w:rsidR="00D26040">
        <w:rPr>
          <w:rStyle w:val="FootnoteReference"/>
        </w:rPr>
        <w:footnoteReference w:id="3"/>
      </w:r>
    </w:p>
    <w:p w14:paraId="1356AD23" w14:textId="77777777" w:rsidR="00A91E23" w:rsidRDefault="00A91E23" w:rsidP="00A91E23">
      <w:pPr>
        <w:spacing w:line="360" w:lineRule="auto"/>
        <w:jc w:val="center"/>
      </w:pPr>
    </w:p>
    <w:p w14:paraId="7F3CC950" w14:textId="77777777" w:rsidR="004261F8" w:rsidRDefault="004261F8" w:rsidP="004261F8">
      <w:pPr>
        <w:spacing w:line="360" w:lineRule="auto"/>
        <w:ind w:firstLine="720"/>
        <w:jc w:val="center"/>
        <w:rPr>
          <w:b/>
        </w:rPr>
      </w:pPr>
      <w:r w:rsidRPr="006A0F26">
        <w:rPr>
          <w:b/>
        </w:rPr>
        <w:t xml:space="preserve">Figure 1: The growth of world trade (deflated): 1948-1990 </w:t>
      </w:r>
    </w:p>
    <w:p w14:paraId="5A040BB4" w14:textId="77777777" w:rsidR="004261F8" w:rsidRDefault="004261F8" w:rsidP="004261F8">
      <w:pPr>
        <w:spacing w:line="360" w:lineRule="auto"/>
        <w:ind w:firstLine="720"/>
        <w:jc w:val="center"/>
        <w:rPr>
          <w:b/>
        </w:rPr>
      </w:pPr>
    </w:p>
    <w:p w14:paraId="6841EC27" w14:textId="77777777" w:rsidR="00A91E23" w:rsidRDefault="004261F8" w:rsidP="004261F8">
      <w:pPr>
        <w:spacing w:line="360" w:lineRule="auto"/>
        <w:ind w:firstLine="720"/>
        <w:jc w:val="center"/>
      </w:pPr>
      <w:r w:rsidRPr="00D25A3E">
        <w:rPr>
          <w:noProof/>
        </w:rPr>
        <w:drawing>
          <wp:inline distT="0" distB="0" distL="0" distR="0" wp14:anchorId="35CE6F28" wp14:editId="4B8B23E1">
            <wp:extent cx="5243063" cy="3071003"/>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ld Trade 1948 1990 IMF data Deflate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42761" cy="3070826"/>
                    </a:xfrm>
                    <a:prstGeom prst="rect">
                      <a:avLst/>
                    </a:prstGeom>
                  </pic:spPr>
                </pic:pic>
              </a:graphicData>
            </a:graphic>
          </wp:inline>
        </w:drawing>
      </w:r>
    </w:p>
    <w:p w14:paraId="440D865C" w14:textId="77777777" w:rsidR="00A91E23" w:rsidRDefault="00A91E23" w:rsidP="00A91E23">
      <w:pPr>
        <w:spacing w:line="360" w:lineRule="auto"/>
        <w:jc w:val="both"/>
      </w:pPr>
      <w:r>
        <w:tab/>
        <w:t>A vast literature on transportation economics has argued that</w:t>
      </w:r>
      <w:r w:rsidR="00925CF1">
        <w:t xml:space="preserve"> containerization was the major change in 20</w:t>
      </w:r>
      <w:r w:rsidR="00925CF1" w:rsidRPr="00925CF1">
        <w:rPr>
          <w:vertAlign w:val="superscript"/>
        </w:rPr>
        <w:t>th</w:t>
      </w:r>
      <w:r w:rsidR="00925CF1">
        <w:t xml:space="preserve"> century transportation technology responsible for the acceleration of the globalization of the world economy since the 1960s.</w:t>
      </w:r>
      <w:r w:rsidRPr="00371296">
        <w:rPr>
          <w:rStyle w:val="FootnoteReference"/>
        </w:rPr>
        <w:footnoteReference w:id="4"/>
      </w:r>
      <w:r>
        <w:t xml:space="preserve"> Figure 1 reveals that the dramatic increase in the growth in world trade coincides </w:t>
      </w:r>
      <w:r w:rsidR="000764CB">
        <w:t>indeed with the period</w:t>
      </w:r>
      <w:r w:rsidR="00F14971">
        <w:t xml:space="preserve"> </w:t>
      </w:r>
      <w:r w:rsidR="000764CB">
        <w:t xml:space="preserve">of global </w:t>
      </w:r>
      <w:r>
        <w:t xml:space="preserve">container adoption </w:t>
      </w:r>
      <w:r w:rsidR="000764CB">
        <w:t xml:space="preserve">in international trade which occurred between </w:t>
      </w:r>
      <w:r>
        <w:t>1966</w:t>
      </w:r>
      <w:r w:rsidR="000764CB">
        <w:t xml:space="preserve"> and </w:t>
      </w:r>
      <w:r>
        <w:t>1983.</w:t>
      </w:r>
      <w:r w:rsidR="000764CB">
        <w:t xml:space="preserve">  </w:t>
      </w:r>
      <w:r>
        <w:t xml:space="preserve">However, </w:t>
      </w:r>
      <w:r w:rsidR="00B40AA0">
        <w:t>a quantitative</w:t>
      </w:r>
      <w:r w:rsidR="00F14971">
        <w:t xml:space="preserve"> assessment </w:t>
      </w:r>
      <w:r w:rsidR="000764CB">
        <w:t>on the effect</w:t>
      </w:r>
      <w:r>
        <w:t xml:space="preserve"> of containerization on </w:t>
      </w:r>
      <w:r w:rsidR="000764CB">
        <w:t xml:space="preserve">international </w:t>
      </w:r>
      <w:r>
        <w:t>trade appear</w:t>
      </w:r>
      <w:r w:rsidR="00DA72DE">
        <w:t>s</w:t>
      </w:r>
      <w:r>
        <w:t xml:space="preserve"> to be missing.  In fact, in an influential and well-searched book on the history of the container revolution, Mark Levinson (2006, p.8) asserts that "how much the container matters to the world economy is impossible to quantify".  Our paper </w:t>
      </w:r>
      <w:r>
        <w:lastRenderedPageBreak/>
        <w:t xml:space="preserve">challenges this claim and suggests an empirical </w:t>
      </w:r>
      <w:r w:rsidR="000764CB">
        <w:t xml:space="preserve">identification </w:t>
      </w:r>
      <w:r>
        <w:t xml:space="preserve">strategy that allows us to </w:t>
      </w:r>
      <w:r w:rsidR="000764CB">
        <w:t xml:space="preserve">estimate the </w:t>
      </w:r>
      <w:r w:rsidR="00E75830">
        <w:t>effect</w:t>
      </w:r>
      <w:r w:rsidR="00DA72DE">
        <w:t xml:space="preserve"> </w:t>
      </w:r>
      <w:r w:rsidR="000764CB">
        <w:t xml:space="preserve">of </w:t>
      </w:r>
      <w:r>
        <w:t xml:space="preserve">containerization on </w:t>
      </w:r>
      <w:r w:rsidR="000764CB">
        <w:t xml:space="preserve">international </w:t>
      </w:r>
      <w:r>
        <w:t>trade.</w:t>
      </w:r>
    </w:p>
    <w:p w14:paraId="55E84A5E" w14:textId="77777777" w:rsidR="00F14971" w:rsidRDefault="00F14971" w:rsidP="00BE52E5">
      <w:pPr>
        <w:spacing w:line="360" w:lineRule="auto"/>
        <w:ind w:firstLine="720"/>
        <w:jc w:val="both"/>
      </w:pPr>
      <w:r>
        <w:t>Containerization was invented and first commercially i</w:t>
      </w:r>
      <w:r w:rsidR="008776FA">
        <w:t xml:space="preserve">mplemented in the US in the mid </w:t>
      </w:r>
      <w:r>
        <w:t xml:space="preserve">1950s.  After ten years of US innovation in port and container ship technologies, followed by the international standardization in 1965, </w:t>
      </w:r>
      <w:r w:rsidR="00BE52E5">
        <w:t xml:space="preserve">the </w:t>
      </w:r>
      <w:r>
        <w:t xml:space="preserve">adoption of containerization in international trade started in 1966.  </w:t>
      </w:r>
      <w:r w:rsidR="00BE52E5">
        <w:t>Numerous case studies have documented that containerization has not only effected the operation and relocation of ports but the entire transportation industry.</w:t>
      </w:r>
      <w:r w:rsidR="00BE52E5">
        <w:rPr>
          <w:rStyle w:val="FootnoteReference"/>
        </w:rPr>
        <w:footnoteReference w:id="5"/>
      </w:r>
      <w:r w:rsidR="00BE52E5">
        <w:t xml:space="preserve">  Specifically, the introduction of containerization has gone hand in hand with the creation of the modern intermodal transport system, facilitating dramatic increases in shipping capacities and </w:t>
      </w:r>
      <w:r w:rsidR="00DA72DE">
        <w:t xml:space="preserve">reductions in </w:t>
      </w:r>
      <w:r w:rsidR="00BE52E5">
        <w:t>delivery times through intermodal cargo movements between ships, trains and trucks.</w:t>
      </w:r>
    </w:p>
    <w:p w14:paraId="4B79D4E9" w14:textId="77777777" w:rsidR="00A91E23" w:rsidRDefault="00F14971" w:rsidP="006D45CD">
      <w:pPr>
        <w:spacing w:line="360" w:lineRule="auto"/>
        <w:ind w:firstLine="720"/>
        <w:jc w:val="both"/>
      </w:pPr>
      <w:r>
        <w:t xml:space="preserve">Based on information scattered in transportation industry journals, we are able to identify the year in which a country </w:t>
      </w:r>
      <w:r w:rsidR="00BE52E5">
        <w:t xml:space="preserve">entered the container age by first processing </w:t>
      </w:r>
      <w:r>
        <w:t>cargo via port and railway container facilities.</w:t>
      </w:r>
      <w:r w:rsidR="00BE52E5">
        <w:t xml:space="preserve"> </w:t>
      </w:r>
      <w:r w:rsidR="008367A9">
        <w:t xml:space="preserve"> </w:t>
      </w:r>
      <w:r w:rsidR="00A91E23">
        <w:t>Since the adoption of container technology resulted in complementary changes that transformed an economy’s entire transportation industry, we capture containerization as a country</w:t>
      </w:r>
      <w:r w:rsidR="002F6EA7">
        <w:t xml:space="preserve">-pair </w:t>
      </w:r>
      <w:r w:rsidR="00A91E23">
        <w:t xml:space="preserve">specific qualitative </w:t>
      </w:r>
      <w:r w:rsidR="002F6EA7">
        <w:t xml:space="preserve">technology </w:t>
      </w:r>
      <w:r w:rsidR="00A91E23">
        <w:t xml:space="preserve">variable that switches from 0 to 1 when </w:t>
      </w:r>
      <w:r w:rsidR="002F6EA7">
        <w:t xml:space="preserve">both countries entered the container age at time </w:t>
      </w:r>
      <w:r w:rsidR="002F6EA7" w:rsidRPr="00701CD3">
        <w:rPr>
          <w:i/>
        </w:rPr>
        <w:t>t</w:t>
      </w:r>
      <w:r w:rsidR="002F6EA7">
        <w:t>.</w:t>
      </w:r>
      <w:r w:rsidR="008367A9">
        <w:t xml:space="preserve">  Time and cross-sectional variation of this technology variable permits us to apply it </w:t>
      </w:r>
      <w:r w:rsidR="00C6574F">
        <w:t>to</w:t>
      </w:r>
      <w:r w:rsidR="008367A9">
        <w:t xml:space="preserve"> a large panel of bilateral trade flows for 157 countries during the time period of 1962-19</w:t>
      </w:r>
      <w:r w:rsidR="00C6574F">
        <w:t>9</w:t>
      </w:r>
      <w:r w:rsidR="008367A9">
        <w:t xml:space="preserve">0.  </w:t>
      </w:r>
      <w:r w:rsidR="00A91E23">
        <w:t xml:space="preserve"> Our time horizon includes 4 years of pre-container shipping in international trade, the period of global container adoption 1966-1983 and 7 years where no new country in our sample started to adopt containerization.  Since our time horizon precedes the period of dramatic reductions in the costs of air transport, our study excludes the other major 20th century change in the global transportation sector. </w:t>
      </w:r>
      <w:r w:rsidR="00E808C8">
        <w:t xml:space="preserve"> </w:t>
      </w:r>
      <w:r w:rsidR="006D45CD">
        <w:t xml:space="preserve">Because </w:t>
      </w:r>
      <w:r w:rsidR="00A91E23">
        <w:t>our data provides information on both port and railway containerization, our analysis captures the main modes of international transport during this period.</w:t>
      </w:r>
      <w:r w:rsidR="00A91E23">
        <w:rPr>
          <w:rStyle w:val="FootnoteReference"/>
        </w:rPr>
        <w:footnoteReference w:id="6"/>
      </w:r>
    </w:p>
    <w:p w14:paraId="1BE9C38A" w14:textId="77777777" w:rsidR="00D72641" w:rsidRDefault="00A91E23" w:rsidP="00D72641">
      <w:pPr>
        <w:spacing w:line="360" w:lineRule="auto"/>
        <w:ind w:firstLine="720"/>
        <w:jc w:val="both"/>
      </w:pPr>
      <w:r>
        <w:t xml:space="preserve">The panel nature of our data </w:t>
      </w:r>
      <w:r w:rsidR="00FD5984">
        <w:t xml:space="preserve">set permits </w:t>
      </w:r>
      <w:r>
        <w:t xml:space="preserve">us </w:t>
      </w:r>
      <w:r w:rsidR="00FD5984">
        <w:t xml:space="preserve">not only to estimate the cumulate average treatment effects </w:t>
      </w:r>
      <w:r w:rsidR="00DA2445">
        <w:t xml:space="preserve">(ATE) </w:t>
      </w:r>
      <w:r w:rsidR="00FD5984">
        <w:t xml:space="preserve">of containerization but also allows us to evaluate the size of the estimates in comparison to the time-varying trade policy liberalization variables that </w:t>
      </w:r>
      <w:r w:rsidR="00DA2445">
        <w:t xml:space="preserve">have been </w:t>
      </w:r>
      <w:r w:rsidR="00FD5984">
        <w:t xml:space="preserve">used in the literature.   </w:t>
      </w:r>
      <w:r>
        <w:t>The inclusion of country-and-time effects allows us to capture multi-lateral resistance identified by the structural gravity literature and other time-varying factors that might be correlated with countries’ decisions to invest in container ports</w:t>
      </w:r>
      <w:r w:rsidR="006D45CD">
        <w:rPr>
          <w:rStyle w:val="FootnoteReference"/>
        </w:rPr>
        <w:footnoteReference w:id="7"/>
      </w:r>
      <w:r>
        <w:t xml:space="preserve">.  Difficult to measure geographic </w:t>
      </w:r>
      <w:r w:rsidR="00FD5984">
        <w:t>factors</w:t>
      </w:r>
      <w:r w:rsidR="00D72641">
        <w:t xml:space="preserve">, like government desires to act as container port hubs, </w:t>
      </w:r>
      <w:r>
        <w:t>are captured by country-pair specific fixed effects.</w:t>
      </w:r>
    </w:p>
    <w:p w14:paraId="71FF5740" w14:textId="77777777" w:rsidR="008E0772" w:rsidRDefault="008A1C45" w:rsidP="001455B1">
      <w:pPr>
        <w:spacing w:line="360" w:lineRule="auto"/>
        <w:ind w:firstLine="720"/>
        <w:jc w:val="both"/>
      </w:pPr>
      <w:r>
        <w:lastRenderedPageBreak/>
        <w:t xml:space="preserve">The period of international container adoption coincided with major </w:t>
      </w:r>
      <w:r w:rsidR="00BF18E5">
        <w:t xml:space="preserve">reductions </w:t>
      </w:r>
      <w:r>
        <w:t xml:space="preserve">of economy-wide </w:t>
      </w:r>
      <w:r w:rsidR="00BF18E5">
        <w:t xml:space="preserve">activity </w:t>
      </w:r>
      <w:r>
        <w:t xml:space="preserve">triggered by the dramatic changes </w:t>
      </w:r>
      <w:r w:rsidR="00BF18E5">
        <w:t xml:space="preserve">in the </w:t>
      </w:r>
      <w:r>
        <w:t>price of crude oil</w:t>
      </w:r>
      <w:r w:rsidR="00BF18E5">
        <w:t>, whic</w:t>
      </w:r>
      <w:r>
        <w:t>h</w:t>
      </w:r>
      <w:r w:rsidR="001455B1">
        <w:t xml:space="preserve"> </w:t>
      </w:r>
      <w:r>
        <w:t xml:space="preserve">increased by over 650 percent </w:t>
      </w:r>
      <w:r w:rsidR="00BF18E5">
        <w:t xml:space="preserve">between </w:t>
      </w:r>
      <w:r>
        <w:t xml:space="preserve">1972 </w:t>
      </w:r>
      <w:r w:rsidR="00BF18E5">
        <w:t>and</w:t>
      </w:r>
      <w:r>
        <w:t xml:space="preserve"> 1980.</w:t>
      </w:r>
      <w:r w:rsidR="00BF18E5">
        <w:t xml:space="preserve">  </w:t>
      </w:r>
      <w:r w:rsidR="009A2F31">
        <w:t xml:space="preserve">The 1970s oil crisis and the accompanying </w:t>
      </w:r>
      <w:r w:rsidR="00BF18E5">
        <w:t xml:space="preserve">government </w:t>
      </w:r>
      <w:r w:rsidR="001455B1">
        <w:t xml:space="preserve">policy measures aimed at reducing aggregate consumption </w:t>
      </w:r>
      <w:r w:rsidR="00BA344C">
        <w:t xml:space="preserve">will </w:t>
      </w:r>
      <w:r w:rsidR="001455B1">
        <w:t xml:space="preserve">mask the effects of </w:t>
      </w:r>
      <w:r w:rsidR="00BA344C">
        <w:t>container adoption on aggregate</w:t>
      </w:r>
      <w:r w:rsidR="001455B1">
        <w:t xml:space="preserve"> trade flows. </w:t>
      </w:r>
      <w:r w:rsidR="00BF18E5">
        <w:t xml:space="preserve"> </w:t>
      </w:r>
      <w:r w:rsidR="001455B1">
        <w:t xml:space="preserve">For this reason and because not </w:t>
      </w:r>
      <w:r w:rsidR="00A91E23">
        <w:t xml:space="preserve">all products are containerizable, we examine variations in bilateral trade flows at </w:t>
      </w:r>
      <w:r w:rsidR="00F25BAC">
        <w:t xml:space="preserve">a disaggregated </w:t>
      </w:r>
      <w:r w:rsidR="00A91E23">
        <w:t xml:space="preserve">level.  </w:t>
      </w:r>
      <w:r w:rsidR="0085629E">
        <w:t>This allows us to exploit a</w:t>
      </w:r>
      <w:r w:rsidR="00D72641">
        <w:t xml:space="preserve"> 1968 study by the </w:t>
      </w:r>
      <w:r w:rsidR="00A91E23">
        <w:t>German Engineers</w:t>
      </w:r>
      <w:r w:rsidR="00D72641">
        <w:t xml:space="preserve"> Society</w:t>
      </w:r>
      <w:r w:rsidR="0085629E">
        <w:t xml:space="preserve"> which classifies 4-digit product groups as to whether they were suitable for container shipments as of 1968.</w:t>
      </w:r>
      <w:r w:rsidR="005515A7">
        <w:t xml:space="preserve"> </w:t>
      </w:r>
      <w:r w:rsidR="00956075">
        <w:t xml:space="preserve">Restricting </w:t>
      </w:r>
      <w:r w:rsidR="0082411C">
        <w:t>our sample to North-North trade</w:t>
      </w:r>
      <w:r w:rsidR="00956075">
        <w:t>, our benchmar</w:t>
      </w:r>
      <w:r w:rsidR="00DA2445">
        <w:t xml:space="preserve">k specification suggests </w:t>
      </w:r>
      <w:r w:rsidR="00A04FEB">
        <w:t xml:space="preserve">that </w:t>
      </w:r>
      <w:r w:rsidR="00DA2445">
        <w:t>the cumulative average treatment effect (ATE)</w:t>
      </w:r>
      <w:r w:rsidR="00956075">
        <w:t xml:space="preserve"> </w:t>
      </w:r>
      <w:r w:rsidR="00A04FEB">
        <w:t>of containerization</w:t>
      </w:r>
      <w:r w:rsidR="0082411C">
        <w:t xml:space="preserve"> was about 70</w:t>
      </w:r>
      <w:r w:rsidR="00A04FEB">
        <w:t xml:space="preserve">0% over a 20-year time period following its bilateral adoption. </w:t>
      </w:r>
      <w:r w:rsidR="001455B1">
        <w:t xml:space="preserve"> </w:t>
      </w:r>
      <w:r w:rsidR="0082411C">
        <w:t>A</w:t>
      </w:r>
      <w:r w:rsidR="00A04FEB">
        <w:t xml:space="preserve"> statistically insignificant pre-treatment effect suggest</w:t>
      </w:r>
      <w:r w:rsidR="00BA344C">
        <w:t>s</w:t>
      </w:r>
      <w:r w:rsidR="00A04FEB">
        <w:t xml:space="preserve"> that the estimates can be given a causal interpretation.</w:t>
      </w:r>
      <w:r w:rsidR="00E57A4E">
        <w:t xml:space="preserve"> </w:t>
      </w:r>
      <w:r w:rsidR="002C3274">
        <w:t xml:space="preserve"> </w:t>
      </w:r>
      <w:r w:rsidR="0082411C">
        <w:t xml:space="preserve">Although we find larger effects on containerizable than non-containerizable, the difference is not statistically significant. </w:t>
      </w:r>
      <w:r w:rsidR="00F25BAC">
        <w:t xml:space="preserve"> </w:t>
      </w:r>
      <w:r w:rsidR="002C3274">
        <w:t>This can be interprete</w:t>
      </w:r>
      <w:r w:rsidR="00EF6ADD">
        <w:t xml:space="preserve">d that container technology </w:t>
      </w:r>
      <w:r w:rsidR="002C3274">
        <w:t>not only increase</w:t>
      </w:r>
      <w:r w:rsidR="004146A7">
        <w:t>d</w:t>
      </w:r>
      <w:r w:rsidR="002C3274">
        <w:t xml:space="preserve"> trade in containerizable goods (i</w:t>
      </w:r>
      <w:r w:rsidR="00F25BAC">
        <w:t xml:space="preserve">ntermediates like </w:t>
      </w:r>
      <w:r w:rsidR="002C3274">
        <w:t>auto parts) but had complementary</w:t>
      </w:r>
      <w:r w:rsidR="00236A0F">
        <w:t xml:space="preserve"> effects by also increasing </w:t>
      </w:r>
      <w:r w:rsidR="002C3274">
        <w:t>trade in goods that are not containerizable (</w:t>
      </w:r>
      <w:r w:rsidR="00F25BAC">
        <w:t xml:space="preserve">assembled </w:t>
      </w:r>
      <w:r w:rsidR="002C3274">
        <w:t>automobiles).</w:t>
      </w:r>
      <w:r w:rsidR="008E0772">
        <w:t xml:space="preserve">  Expanding the analysis to the world sample, we find that the average treatment effects are cut by half. Alth</w:t>
      </w:r>
      <w:r w:rsidR="00EF6ADD">
        <w:t>ough the contemporaneous effect</w:t>
      </w:r>
      <w:r w:rsidR="001F5FD5">
        <w:t xml:space="preserve"> </w:t>
      </w:r>
      <w:r w:rsidR="008E0772">
        <w:t xml:space="preserve">of containerization </w:t>
      </w:r>
      <w:r w:rsidR="001F5FD5">
        <w:t>is</w:t>
      </w:r>
      <w:r w:rsidR="008E0772">
        <w:t xml:space="preserve"> quite similar to the North-North analysis, the dynamic effects of containerization are much weaker for trade flows that involve developin</w:t>
      </w:r>
      <w:r w:rsidR="00EF6ADD">
        <w:t xml:space="preserve">g economies.  The presence of a </w:t>
      </w:r>
      <w:r w:rsidR="008E0772">
        <w:t>statistically s</w:t>
      </w:r>
      <w:r w:rsidR="00EF6ADD">
        <w:t xml:space="preserve">ignificant pre-treatment </w:t>
      </w:r>
      <w:r w:rsidR="001B571A">
        <w:t>effect suggests</w:t>
      </w:r>
      <w:r w:rsidR="008E0772">
        <w:t xml:space="preserve"> anticipation effects of containerization when involving late adopters. </w:t>
      </w:r>
      <w:r w:rsidR="008C46E8">
        <w:t xml:space="preserve">Across </w:t>
      </w:r>
      <w:r w:rsidR="008E0772">
        <w:t>all specifi</w:t>
      </w:r>
      <w:r w:rsidR="008C46E8">
        <w:t>cations we find stronger effects when considering ‘port or railway containerization’ versus ‘port alone containerization’ and</w:t>
      </w:r>
      <w:r w:rsidR="00D43898">
        <w:t xml:space="preserve"> also much larger effects of the container variable compared to the trade policy liberalization variables.</w:t>
      </w:r>
    </w:p>
    <w:p w14:paraId="6BC33572" w14:textId="77777777" w:rsidR="00A91E23" w:rsidRPr="00371296" w:rsidRDefault="00A91E23" w:rsidP="00E13171">
      <w:pPr>
        <w:spacing w:line="360" w:lineRule="auto"/>
        <w:ind w:firstLine="360"/>
        <w:jc w:val="both"/>
      </w:pPr>
      <w:r w:rsidRPr="00371296">
        <w:t xml:space="preserve">Our paper </w:t>
      </w:r>
      <w:r>
        <w:t xml:space="preserve">contributes to the broader literature that aims to quantify the effects of changes in transportation technology on economic activity.  </w:t>
      </w:r>
      <w:r w:rsidRPr="00371296">
        <w:t>Starting with Fogel’s (1964) pioneering study on the effects of US railroads on economic growth, a number of studies have investigated the effects of railroad construction on economic performance and market integration. Based on detailed archival data from colonial India, D</w:t>
      </w:r>
      <w:r w:rsidR="00F52A33">
        <w:t>onaldson</w:t>
      </w:r>
      <w:r w:rsidRPr="00371296">
        <w:t xml:space="preserve"> (</w:t>
      </w:r>
      <w:r w:rsidR="00F52A33">
        <w:t>2012</w:t>
      </w:r>
      <w:r w:rsidRPr="00371296">
        <w:t>) provides a comprehensive general equilibrium analysis of the impacts resulting from the expansion of India’s railroad network during 1853-1930.</w:t>
      </w:r>
      <w:r w:rsidRPr="00371296">
        <w:rPr>
          <w:rStyle w:val="FootnoteReference"/>
        </w:rPr>
        <w:footnoteReference w:id="8"/>
      </w:r>
      <w:r w:rsidRPr="00371296">
        <w:t xml:space="preserve"> While the introduction of rail and steamships were the main changes in transportation technology that underpinned the first wave of globalization (1840s-1914), students of transportation technology and </w:t>
      </w:r>
      <w:r w:rsidRPr="00371296">
        <w:lastRenderedPageBreak/>
        <w:t>prominent commentators link the post World War II growth of world trade to containerization. For example, Paul Krugman writes (2009, p. 7):</w:t>
      </w:r>
    </w:p>
    <w:p w14:paraId="3AE658B7" w14:textId="77777777" w:rsidR="00A91E23" w:rsidRPr="00E13171" w:rsidRDefault="00A91E23" w:rsidP="00E13171">
      <w:pPr>
        <w:spacing w:line="360" w:lineRule="auto"/>
        <w:ind w:left="360"/>
        <w:jc w:val="both"/>
        <w:rPr>
          <w:i/>
        </w:rPr>
      </w:pPr>
      <w:r w:rsidRPr="00371296">
        <w:rPr>
          <w:i/>
        </w:rPr>
        <w:t>“The ability to ship things long distances fairly cheaply has been there since the steamship and the railroad. What was the big bottleneck was getting things on and off the ships.  A large part of the costs of international trade was taking the cargo off the ship, sorting it out, and dealing with the pilferage that always took place along the way. So, the first big thing that changed was the introduction of the container. When we think about technology that changed the world, we think about glamorous things like the internet. But if you try to figure out what happened to world trade, there is a really strong case to be made that it was the container, which could be hauled off a ship and put onto a truck or a train and moved on. It used to be the case that ports were places with thousands and thousands of longshoremen milling around loading and unloading ships. Now longshoremen are like something out of those science fiction movies in which people have disappeared and been replaced by machines”.</w:t>
      </w:r>
    </w:p>
    <w:p w14:paraId="31E63986" w14:textId="77777777" w:rsidR="00A91E23" w:rsidRDefault="00A91E23" w:rsidP="00A91E23">
      <w:pPr>
        <w:spacing w:line="360" w:lineRule="auto"/>
        <w:ind w:firstLine="720"/>
        <w:jc w:val="both"/>
      </w:pPr>
      <w:r>
        <w:t>The current state of the empirical trade literature does not appear to support the view that the decline in transportation costs played a significant role in the growth of world trade. In an influential paper studying the growth of world trade, Baier and Bergstrand (2001) have found that the reduction in tariffs is more than three times as important as the decline in transportation costs in explaining the growth of OECD trade between 1958-60 and 1986-88.</w:t>
      </w:r>
      <w:r>
        <w:rPr>
          <w:rStyle w:val="FootnoteReference"/>
        </w:rPr>
        <w:footnoteReference w:id="9"/>
      </w:r>
      <w:r>
        <w:t xml:space="preserve">   In his survey of how changes in transportation costs have affected international trade in the post world War II period, Hummels (2007) has detected an</w:t>
      </w:r>
      <w:r w:rsidRPr="009C32B4">
        <w:t xml:space="preserve"> </w:t>
      </w:r>
      <w:r>
        <w:t>actual increase in ocean shipping rates during 1974-84, a period after the adoption of containerization in the US.  Using commodity data on US trade flows, Hummels finds that freight cost reductions from increasing an exporter’s share of containerized trade have been eroded by the increase in fuel costs resulting from the 1970s hike in oil prices.</w:t>
      </w:r>
      <w:r w:rsidRPr="00EA24A8">
        <w:rPr>
          <w:rStyle w:val="FootnoteReference"/>
        </w:rPr>
        <w:t xml:space="preserve"> </w:t>
      </w:r>
      <w:r>
        <w:rPr>
          <w:rStyle w:val="FootnoteReference"/>
        </w:rPr>
        <w:footnoteReference w:id="10"/>
      </w:r>
    </w:p>
    <w:p w14:paraId="6839A9BC" w14:textId="77777777" w:rsidR="00A91E23" w:rsidRPr="00371296" w:rsidRDefault="00A91E23" w:rsidP="00A91E23">
      <w:pPr>
        <w:spacing w:line="360" w:lineRule="auto"/>
        <w:ind w:firstLine="720"/>
        <w:jc w:val="both"/>
      </w:pPr>
      <w:r>
        <w:t>Our findings of a strong effect of containerization is reconciled by recognizing that our identification strategy focuses on the adoption of  intermodal transportation (port and railway) at the economy wide level and allowing for dynamic adjustments.   In fact, our findings confirm Hummels’ (2007, p. 144) intuition that “</w:t>
      </w:r>
      <w:r w:rsidRPr="00D6795F">
        <w:rPr>
          <w:i/>
        </w:rPr>
        <w:t xml:space="preserve">the real gains from containerization might come from quality changes in transportation services…To the extent that these quality improvements do not show up in </w:t>
      </w:r>
      <w:r w:rsidRPr="00D6795F">
        <w:rPr>
          <w:i/>
        </w:rPr>
        <w:lastRenderedPageBreak/>
        <w:t>measured price indices, the indices understate the value of the technological change</w:t>
      </w:r>
      <w:r>
        <w:t>”.  Our findings are also compatible with Yi (2003) who has stressed the role of vertical specialization and disintegration of production as a major factor in explaining the growth of world trade.</w:t>
      </w:r>
      <w:r>
        <w:rPr>
          <w:rStyle w:val="FootnoteReference"/>
        </w:rPr>
        <w:footnoteReference w:id="11"/>
      </w:r>
      <w:r>
        <w:t xml:space="preserve"> Experts in transportation economics have emphasized repeatedly that the global diffusion of intermodal transport was a prerequisite for the disintegration of production and the establishment of global supply chains (Notteboom and Rodrigue, 2008).</w:t>
      </w:r>
    </w:p>
    <w:p w14:paraId="07318C42" w14:textId="77777777" w:rsidR="00A91E23" w:rsidRDefault="00A91E23" w:rsidP="00E13171">
      <w:pPr>
        <w:spacing w:line="360" w:lineRule="auto"/>
        <w:ind w:firstLine="720"/>
        <w:jc w:val="both"/>
      </w:pPr>
      <w:r>
        <w:t xml:space="preserve">The next section of the paper provides </w:t>
      </w:r>
      <w:r w:rsidR="00E13171">
        <w:t xml:space="preserve">a </w:t>
      </w:r>
      <w:r>
        <w:t xml:space="preserve">historical </w:t>
      </w:r>
      <w:r w:rsidR="00E13171">
        <w:t xml:space="preserve">discussion </w:t>
      </w:r>
      <w:r>
        <w:t xml:space="preserve">on the origins and effects of containerization. </w:t>
      </w:r>
      <w:r w:rsidR="00E13171">
        <w:t>Our historical narrative fulfills two purposes.  Firs</w:t>
      </w:r>
      <w:r w:rsidR="003C61A6">
        <w:t xml:space="preserve">t, by describing </w:t>
      </w:r>
      <w:r w:rsidR="00E13171">
        <w:t>the different channels through which container adoption reduced trade costs we point to the mechanism</w:t>
      </w:r>
      <w:r w:rsidR="003C61A6">
        <w:t>s</w:t>
      </w:r>
      <w:r w:rsidR="000654CE">
        <w:t xml:space="preserve"> that</w:t>
      </w:r>
      <w:r w:rsidR="003C61A6">
        <w:t xml:space="preserve"> </w:t>
      </w:r>
      <w:r w:rsidR="000654CE">
        <w:t xml:space="preserve">appear to </w:t>
      </w:r>
      <w:r w:rsidR="003C61A6">
        <w:t>be responsible for our estimated effects</w:t>
      </w:r>
      <w:r w:rsidR="00E13171">
        <w:t xml:space="preserve">. </w:t>
      </w:r>
      <w:r w:rsidR="003C61A6">
        <w:t xml:space="preserve"> </w:t>
      </w:r>
      <w:r w:rsidR="00E13171">
        <w:t>Second, our h</w:t>
      </w:r>
      <w:r>
        <w:t xml:space="preserve">istorical evidence on the speed of diffusion of container technology </w:t>
      </w:r>
      <w:r w:rsidR="00A83CC6">
        <w:t xml:space="preserve">within the transportation structure of two selected </w:t>
      </w:r>
      <w:r>
        <w:t>econom</w:t>
      </w:r>
      <w:r w:rsidR="00A83CC6">
        <w:t>ies</w:t>
      </w:r>
      <w:r>
        <w:t xml:space="preserve"> provides the rationale for our identification strategy of capturing containerization.  Section three introduces our empirical specifications and discusses our empirical findings. Section four concludes. </w:t>
      </w:r>
    </w:p>
    <w:p w14:paraId="12DE763A" w14:textId="77777777" w:rsidR="004261F8" w:rsidRDefault="004261F8" w:rsidP="00A91E23">
      <w:pPr>
        <w:spacing w:line="360" w:lineRule="auto"/>
        <w:jc w:val="both"/>
      </w:pPr>
    </w:p>
    <w:p w14:paraId="7B6A5606" w14:textId="77777777" w:rsidR="00A91E23" w:rsidRDefault="00A91E23" w:rsidP="00A91E23">
      <w:pPr>
        <w:spacing w:line="360" w:lineRule="auto"/>
        <w:jc w:val="both"/>
        <w:rPr>
          <w:b/>
        </w:rPr>
      </w:pPr>
      <w:r w:rsidRPr="00BA5DA8">
        <w:rPr>
          <w:b/>
        </w:rPr>
        <w:t xml:space="preserve">2.  </w:t>
      </w:r>
      <w:r>
        <w:rPr>
          <w:b/>
        </w:rPr>
        <w:t>The container revolution and intermodal transport</w:t>
      </w:r>
    </w:p>
    <w:p w14:paraId="397324E8" w14:textId="77777777" w:rsidR="00A91E23" w:rsidRPr="00371296" w:rsidRDefault="00A91E23" w:rsidP="00A91E23">
      <w:pPr>
        <w:ind w:left="360"/>
        <w:jc w:val="both"/>
        <w:rPr>
          <w:i/>
        </w:rPr>
      </w:pPr>
      <w:r>
        <w:rPr>
          <w:i/>
        </w:rPr>
        <w:t>“</w:t>
      </w:r>
      <w:r w:rsidRPr="00371296">
        <w:rPr>
          <w:i/>
        </w:rPr>
        <w:t>Born of the need to reduce labor, time and handling, containerization links the manufacturer or producer with the ultimate consumer or customer. By eliminating as many as 12 separate handlings, containers minimize cargo loss or damage; speed delivery; reduce overall expenditure</w:t>
      </w:r>
      <w:r>
        <w:rPr>
          <w:i/>
        </w:rPr>
        <w:t>”</w:t>
      </w:r>
      <w:r w:rsidRPr="00371296">
        <w:rPr>
          <w:i/>
        </w:rPr>
        <w:t>.</w:t>
      </w:r>
    </w:p>
    <w:p w14:paraId="115BB485" w14:textId="77777777" w:rsidR="00A91E23" w:rsidRPr="00DD68B5" w:rsidRDefault="00A91E23" w:rsidP="00A91E23">
      <w:pPr>
        <w:ind w:left="360"/>
        <w:jc w:val="both"/>
        <w:rPr>
          <w:i/>
        </w:rPr>
      </w:pPr>
      <w:r w:rsidRPr="00371296">
        <w:rPr>
          <w:i/>
        </w:rPr>
        <w:t>(Containerisation International, 1970</w:t>
      </w:r>
      <w:r>
        <w:rPr>
          <w:i/>
        </w:rPr>
        <w:t>, p. 19</w:t>
      </w:r>
      <w:r w:rsidRPr="00371296">
        <w:rPr>
          <w:i/>
        </w:rPr>
        <w:t>)</w:t>
      </w:r>
    </w:p>
    <w:p w14:paraId="06291CCD" w14:textId="77777777" w:rsidR="00A91E23" w:rsidRDefault="00A91E23" w:rsidP="00A91E23">
      <w:pPr>
        <w:spacing w:line="360" w:lineRule="auto"/>
        <w:jc w:val="both"/>
        <w:rPr>
          <w:b/>
        </w:rPr>
      </w:pPr>
    </w:p>
    <w:p w14:paraId="724286B6" w14:textId="77777777" w:rsidR="00A91E23" w:rsidRPr="00DD68B5" w:rsidRDefault="00A91E23" w:rsidP="00A91E23">
      <w:pPr>
        <w:spacing w:line="360" w:lineRule="auto"/>
        <w:jc w:val="both"/>
      </w:pPr>
      <w:r w:rsidRPr="00246E55">
        <w:rPr>
          <w:i/>
        </w:rPr>
        <w:t>2.1</w:t>
      </w:r>
      <w:r>
        <w:rPr>
          <w:i/>
        </w:rPr>
        <w:t xml:space="preserve"> Historical background</w:t>
      </w:r>
    </w:p>
    <w:p w14:paraId="7D36F4B1" w14:textId="77777777" w:rsidR="00A91E23" w:rsidRDefault="00A91E23" w:rsidP="00A91E23">
      <w:pPr>
        <w:spacing w:line="360" w:lineRule="auto"/>
        <w:jc w:val="both"/>
      </w:pPr>
      <w:r>
        <w:tab/>
        <w:t xml:space="preserve">Before the advent of containerization, the technology for unloading general cargo through the process of </w:t>
      </w:r>
      <w:r w:rsidRPr="00703782">
        <w:rPr>
          <w:i/>
        </w:rPr>
        <w:t>break-bulk</w:t>
      </w:r>
      <w:r>
        <w:t xml:space="preserve"> shipping ha</w:t>
      </w:r>
      <w:r w:rsidR="00F6080F">
        <w:t>d</w:t>
      </w:r>
      <w:r>
        <w:t xml:space="preserve"> hardly changed since the Phoenicians traded along the coast of the Mediterranean. The loading and unloading of individual items in barrels, sacks and wooden crates from land transport to ship and back again on arrival was slow and labor-intensive. Technological advances through the use of ropes for bundling timber and pallets for stacking and transporting bags or sacks yielded some efficiency gains, but the handling of cargo was almost as labor intensive after World War II as it was during the beginning of the Victorian age.  From a shipper's perspective, often two-</w:t>
      </w:r>
      <w:r w:rsidR="001228AC">
        <w:t>thirds</w:t>
      </w:r>
      <w:r>
        <w:t xml:space="preserve"> of a ship's productive time was spent in port causing port congestion and low levels of ship utilization.  Following the spread of the railways, it became apparent already during the first era of globalization that the bottleneck in freight transport was at the interface between the land and sea transport modes.</w:t>
      </w:r>
    </w:p>
    <w:p w14:paraId="40561ED1" w14:textId="77777777" w:rsidR="00A91E23" w:rsidRDefault="00A91E23" w:rsidP="00A91E23">
      <w:pPr>
        <w:spacing w:line="360" w:lineRule="auto"/>
        <w:jc w:val="both"/>
      </w:pPr>
      <w:r>
        <w:lastRenderedPageBreak/>
        <w:tab/>
        <w:t xml:space="preserve">Before World War II, </w:t>
      </w:r>
      <w:r w:rsidRPr="00371296">
        <w:t xml:space="preserve">US, British and French </w:t>
      </w:r>
      <w:r>
        <w:t xml:space="preserve">railway companies experimented with methods of sealing goods in different sizes and shapes of boxes before transporting them. However, the lack of specialized capital equipment like specialized cranes for loading and loading combined with union resistance to changes in </w:t>
      </w:r>
      <w:r w:rsidRPr="00371296">
        <w:t>work practices</w:t>
      </w:r>
      <w:r>
        <w:t xml:space="preserve"> at the docks delayed the </w:t>
      </w:r>
      <w:r w:rsidRPr="00371296">
        <w:t xml:space="preserve">development of container </w:t>
      </w:r>
      <w:r>
        <w:t xml:space="preserve">shipping </w:t>
      </w:r>
      <w:r w:rsidRPr="00371296">
        <w:t xml:space="preserve">until the </w:t>
      </w:r>
      <w:r w:rsidR="001228AC">
        <w:t>mid-</w:t>
      </w:r>
      <w:r w:rsidR="001228AC" w:rsidRPr="00371296">
        <w:t>1950s</w:t>
      </w:r>
      <w:r w:rsidRPr="00371296">
        <w:t xml:space="preserve">. </w:t>
      </w:r>
    </w:p>
    <w:p w14:paraId="42E8FCC9" w14:textId="77777777" w:rsidR="00A91E23" w:rsidRDefault="00A91E23" w:rsidP="00A91E23">
      <w:pPr>
        <w:spacing w:line="360" w:lineRule="auto"/>
        <w:jc w:val="both"/>
      </w:pPr>
      <w:r>
        <w:tab/>
        <w:t xml:space="preserve">The genesis of the container revolution goes back to April 26, 1956 when the </w:t>
      </w:r>
      <w:r w:rsidRPr="00F63B93">
        <w:rPr>
          <w:i/>
        </w:rPr>
        <w:t>Ideal</w:t>
      </w:r>
      <w:r>
        <w:rPr>
          <w:i/>
        </w:rPr>
        <w:t>-</w:t>
      </w:r>
      <w:r w:rsidRPr="00F63B93">
        <w:rPr>
          <w:i/>
        </w:rPr>
        <w:t xml:space="preserve"> X</w:t>
      </w:r>
      <w:r>
        <w:rPr>
          <w:i/>
        </w:rPr>
        <w:t xml:space="preserve">, </w:t>
      </w:r>
      <w:r>
        <w:t>made its maiden voyage from Port Newark to Houston, Texas. The ideal X was a converted World War II tanker that was redesigned with a reinforced deck to sustain the load of 58 containers.  As so common in the history of innovation, the breakthrough of containerized shipping came from someone outside the industry, Malcolm McLean, a trucking entrepreneur from North Carolina.  Concerned about increased US highway congestion in the 1950s when US coastwise shipping was widely seen as an unprofitable business, McLean's central idea was to integrate coastwise shipping with his trucking business in an era where trucking and shipping were segmented industries. His vision was the creation of an integrated transportati</w:t>
      </w:r>
      <w:r w:rsidR="00236A0F">
        <w:t xml:space="preserve">on system that moved cargo door </w:t>
      </w:r>
      <w:r>
        <w:t xml:space="preserve">to door directly from the producer to the customer. The immediate success of the first US container journey resulted from the large cost savings from the mechanized loading and unloading of containerized cargos. Shortly after the </w:t>
      </w:r>
      <w:r w:rsidRPr="000F2BF2">
        <w:rPr>
          <w:i/>
        </w:rPr>
        <w:t>Ideal</w:t>
      </w:r>
      <w:r>
        <w:rPr>
          <w:i/>
        </w:rPr>
        <w:t>-</w:t>
      </w:r>
      <w:r w:rsidRPr="000F2BF2">
        <w:rPr>
          <w:i/>
        </w:rPr>
        <w:t xml:space="preserve">X </w:t>
      </w:r>
      <w:r>
        <w:t xml:space="preserve">docked at the Port of Houston, McLean's enterprise, which later became known as Sea-Land Service, was already taking orders to ship containerized cargo back to Newark. </w:t>
      </w:r>
    </w:p>
    <w:p w14:paraId="7F368215" w14:textId="77777777" w:rsidR="00A91E23" w:rsidRDefault="00A91E23" w:rsidP="00A91E23">
      <w:pPr>
        <w:spacing w:line="360" w:lineRule="auto"/>
        <w:jc w:val="both"/>
      </w:pPr>
      <w:r>
        <w:tab/>
        <w:t xml:space="preserve">The 1956 container operation by the </w:t>
      </w:r>
      <w:r w:rsidRPr="00542D79">
        <w:rPr>
          <w:i/>
        </w:rPr>
        <w:t>Ideal X</w:t>
      </w:r>
      <w:r>
        <w:t xml:space="preserve"> involved a ship and cranes that were designed for other purposes. McLean's fundamental insight, which was years ahead of his time, was that the success of the container did not rest simply in the idea of putting cargo into a metal box.  Instead, it required complementary changes in cranes, ships, ports, trucks, trains and storage facilities. Three years following </w:t>
      </w:r>
      <w:r w:rsidRPr="00547D23">
        <w:rPr>
          <w:i/>
        </w:rPr>
        <w:t>Ideal X's</w:t>
      </w:r>
      <w:r>
        <w:t xml:space="preserve"> maiden voyage, container shipping saw additional savings through the building of purpose-built container cranes followed by the building of large purpose-built containerships. On January 9, 1959 the world's first purpose-built container crane started to operate and was capable of loading one 40,000-pound box every three minutes. The prod</w:t>
      </w:r>
      <w:r w:rsidR="009C3332">
        <w:t xml:space="preserve">uctivity gains from using this </w:t>
      </w:r>
      <w:r>
        <w:t>container crane were staggering, as it could handle 400 tons per hours, more than 40 times the average productivity of a longshore gang.</w:t>
      </w:r>
      <w:r>
        <w:rPr>
          <w:rStyle w:val="FootnoteReference"/>
        </w:rPr>
        <w:footnoteReference w:id="12"/>
      </w:r>
      <w:r>
        <w:t xml:space="preserve">  Investment in larger shipping capacity became now profitable since containerization dramatically reduced a ship's average time in ports.</w:t>
      </w:r>
    </w:p>
    <w:p w14:paraId="69296260" w14:textId="77777777" w:rsidR="00A91E23" w:rsidRDefault="00A91E23" w:rsidP="00A91E23">
      <w:pPr>
        <w:spacing w:line="360" w:lineRule="auto"/>
        <w:jc w:val="both"/>
      </w:pPr>
      <w:r>
        <w:tab/>
        <w:t xml:space="preserve">Given the large investment costs, industry experts revealed a considerable amount of uncertainty and skepticism regarding the success of the container technology at the time. Many transportation analysts judged container shipping as a niche technology and did not anticipate the </w:t>
      </w:r>
      <w:r>
        <w:lastRenderedPageBreak/>
        <w:t xml:space="preserve">dramatic transformations that this technology was about to bring to the entire domestic and international transportation sector.  In the first decade following the </w:t>
      </w:r>
      <w:r>
        <w:rPr>
          <w:i/>
        </w:rPr>
        <w:t>Ideal-</w:t>
      </w:r>
      <w:r w:rsidRPr="005E13B6">
        <w:rPr>
          <w:i/>
        </w:rPr>
        <w:t xml:space="preserve"> X’</w:t>
      </w:r>
      <w:r w:rsidRPr="005E13B6">
        <w:t>s</w:t>
      </w:r>
      <w:r>
        <w:t xml:space="preserve"> maiden voyage, innovation and investment in container technology remained an American affair.  But, as Levinson (2006, p. 201) points out, "ports, railroads, governments, and trade unions around the world spent those years studying the ways that containerization had shaken freight transportation in the United States".  The early initiatives came from US shipping lines and by the early 1960s, containerization was firmly established on routes between the US mainland and Puerto Rico, Hawaii and Alaska. Ten years of US advancement in container technology set the foundation for containerization to go global in 1966.</w:t>
      </w:r>
      <w:r>
        <w:rPr>
          <w:rStyle w:val="FootnoteReference"/>
        </w:rPr>
        <w:footnoteReference w:id="13"/>
      </w:r>
      <w:r>
        <w:t xml:space="preserve">  In that year, the first container services were established in the transatlantic trade between the US and European ports in the UK, Netherlands and West Germany.  </w:t>
      </w:r>
    </w:p>
    <w:p w14:paraId="73AFFBBA" w14:textId="77777777" w:rsidR="00D3224C" w:rsidRDefault="00D3224C" w:rsidP="00A91E23">
      <w:pPr>
        <w:spacing w:line="360" w:lineRule="auto"/>
        <w:jc w:val="both"/>
      </w:pPr>
    </w:p>
    <w:p w14:paraId="4158FC44" w14:textId="77777777" w:rsidR="00A91E23" w:rsidRPr="0060606F" w:rsidRDefault="00A91E23" w:rsidP="00A91E23">
      <w:pPr>
        <w:spacing w:line="360" w:lineRule="auto"/>
        <w:jc w:val="both"/>
        <w:rPr>
          <w:i/>
        </w:rPr>
      </w:pPr>
      <w:r w:rsidRPr="008E2FE5">
        <w:rPr>
          <w:i/>
        </w:rPr>
        <w:t>2.</w:t>
      </w:r>
      <w:r>
        <w:rPr>
          <w:i/>
        </w:rPr>
        <w:t>2 Economic effects of containerization</w:t>
      </w:r>
    </w:p>
    <w:p w14:paraId="0DD2938C" w14:textId="77777777" w:rsidR="00A91E23" w:rsidRDefault="00A91E23" w:rsidP="00A91E23">
      <w:pPr>
        <w:spacing w:line="360" w:lineRule="auto"/>
        <w:jc w:val="both"/>
      </w:pPr>
      <w:r>
        <w:tab/>
        <w:t xml:space="preserve">From a transportation technology perspective, containerization resulted in the introduction of intermodal freight transport, since the shipment of a container can use multiple modes of transportation -ship, rail or truck- without any handling of the freight when changing modes. By eliminating sometimes as many as a dozen separate handlings of the cargo, the container resulted in linking the producer directly to the customer. Since containerization resulted in a reduction of the total resource costs of shipping a </w:t>
      </w:r>
      <w:r w:rsidR="00265BB1">
        <w:t>good from</w:t>
      </w:r>
      <w:r>
        <w:t xml:space="preserve"> the (inland) manufacturer to the (inland) customer, its impact is not adequately captured by looking at changes in port to port freight costs.</w:t>
      </w:r>
      <w:r>
        <w:rPr>
          <w:rStyle w:val="FootnoteReference"/>
        </w:rPr>
        <w:footnoteReference w:id="14"/>
      </w:r>
    </w:p>
    <w:p w14:paraId="62732957" w14:textId="77777777" w:rsidR="00A91E23" w:rsidRDefault="00A91E23" w:rsidP="00507414">
      <w:pPr>
        <w:spacing w:line="360" w:lineRule="auto"/>
        <w:ind w:firstLine="720"/>
        <w:jc w:val="both"/>
      </w:pPr>
      <w:r w:rsidRPr="002E51DF">
        <w:t xml:space="preserve">Containerization started as a private endeavor by the shipping lines. In the early stages, shipping lines had to bear most of the costs since many ports such as New York and London were reluctant to spend </w:t>
      </w:r>
      <w:r>
        <w:t>significant funds on ‘a new technology’ with uncertain returns at the time</w:t>
      </w:r>
      <w:r w:rsidRPr="002E51DF">
        <w:t>. Many shipping lines had to operate from small and formerly unknown ports and install their own cranes. The process was extremely expensive</w:t>
      </w:r>
      <w:r>
        <w:t>. After the container proved to be</w:t>
      </w:r>
      <w:r w:rsidRPr="002E51DF">
        <w:t xml:space="preserve"> success</w:t>
      </w:r>
      <w:r>
        <w:t>ful</w:t>
      </w:r>
      <w:r w:rsidRPr="002E51DF">
        <w:t>, ports warmed up to containerization and a race started among ports to attract the most shipping lines by building new terminals and providing the infrastructure to handle containers.</w:t>
      </w:r>
      <w:r>
        <w:t xml:space="preserve"> Containerization required major technological changes in port facilities, which often led to the </w:t>
      </w:r>
      <w:r w:rsidR="00237AA1">
        <w:t xml:space="preserve">creation of new container ports. In the United States, the new container ports in Newark and Oakland </w:t>
      </w:r>
      <w:r>
        <w:t xml:space="preserve">took business from traditional ports </w:t>
      </w:r>
      <w:r>
        <w:lastRenderedPageBreak/>
        <w:t>like New York and San Francisco.</w:t>
      </w:r>
      <w:r w:rsidR="00237AA1">
        <w:t xml:space="preserve"> In the UK, </w:t>
      </w:r>
      <w:r w:rsidR="00507414">
        <w:t xml:space="preserve">the ports of London and Liverpool, which </w:t>
      </w:r>
      <w:r w:rsidR="00A54FB8">
        <w:t xml:space="preserve">handled most of the British trade </w:t>
      </w:r>
      <w:r w:rsidR="00507414">
        <w:t xml:space="preserve">for </w:t>
      </w:r>
      <w:r w:rsidR="00B56A1A">
        <w:t>centuries,</w:t>
      </w:r>
      <w:r w:rsidR="00507414">
        <w:t xml:space="preserve"> lost their dominant position to the emerging container p</w:t>
      </w:r>
      <w:r w:rsidR="00B23BF0">
        <w:t>orts of Tilbury and Felixstowe.</w:t>
      </w:r>
    </w:p>
    <w:p w14:paraId="7705D362" w14:textId="77777777" w:rsidR="00B46F8D" w:rsidRPr="00B23BF0" w:rsidRDefault="00631C18" w:rsidP="00B23BF0">
      <w:pPr>
        <w:spacing w:line="360" w:lineRule="auto"/>
        <w:ind w:firstLine="720"/>
        <w:jc w:val="both"/>
      </w:pPr>
      <w:r w:rsidRPr="002E51DF">
        <w:t>In many countries, port authorities fall under the administration of the government.</w:t>
      </w:r>
      <w:r>
        <w:t xml:space="preserve"> Because of the </w:t>
      </w:r>
      <w:r w:rsidRPr="002E51DF">
        <w:t>high costs, careful planning and analysis had to be undertaken by governments to study the feasibility of containeri</w:t>
      </w:r>
      <w:r>
        <w:t>z</w:t>
      </w:r>
      <w:r w:rsidRPr="002E51DF">
        <w:t>ation. In the UK, the government commissioned McKinsey</w:t>
      </w:r>
      <w:r>
        <w:t xml:space="preserve"> (1967)</w:t>
      </w:r>
      <w:r w:rsidRPr="002E51DF">
        <w:t xml:space="preserve"> to </w:t>
      </w:r>
      <w:r>
        <w:t xml:space="preserve">conduct </w:t>
      </w:r>
      <w:r w:rsidRPr="002E51DF">
        <w:t>a cost</w:t>
      </w:r>
      <w:r>
        <w:t xml:space="preserve"> and benefit analysis before spending significant public funds on container port facilities.  Five years later, McKinsey (1972) provided a quantitative assessment of the effects of containerization following the first five years after its adoption in the UK and Western Europe. Table 1 provides a summary of the sources and magnitude of resource savings from the adoption of container technology between 1965 and 1970/71.</w:t>
      </w:r>
    </w:p>
    <w:p w14:paraId="358B3C35" w14:textId="77777777" w:rsidR="00B46F8D" w:rsidRDefault="00B46F8D" w:rsidP="0093160C">
      <w:pPr>
        <w:spacing w:line="360" w:lineRule="auto"/>
        <w:ind w:firstLine="720"/>
        <w:jc w:val="center"/>
        <w:rPr>
          <w:b/>
        </w:rPr>
      </w:pPr>
    </w:p>
    <w:p w14:paraId="39917C6B" w14:textId="77777777" w:rsidR="0093160C" w:rsidRPr="0093160C" w:rsidRDefault="0093160C" w:rsidP="0093160C">
      <w:pPr>
        <w:spacing w:line="360" w:lineRule="auto"/>
        <w:ind w:firstLine="720"/>
        <w:jc w:val="center"/>
        <w:rPr>
          <w:b/>
        </w:rPr>
      </w:pPr>
      <w:r w:rsidRPr="0093160C">
        <w:rPr>
          <w:b/>
        </w:rPr>
        <w:t xml:space="preserve">Table </w:t>
      </w:r>
      <w:r w:rsidR="00AF62C9" w:rsidRPr="0093160C">
        <w:rPr>
          <w:b/>
        </w:rPr>
        <w:fldChar w:fldCharType="begin"/>
      </w:r>
      <w:r w:rsidRPr="0093160C">
        <w:rPr>
          <w:b/>
        </w:rPr>
        <w:instrText xml:space="preserve"> SEQ Table \* ARABIC </w:instrText>
      </w:r>
      <w:r w:rsidR="00AF62C9" w:rsidRPr="0093160C">
        <w:rPr>
          <w:b/>
        </w:rPr>
        <w:fldChar w:fldCharType="separate"/>
      </w:r>
      <w:r w:rsidR="00E75E00">
        <w:rPr>
          <w:b/>
          <w:noProof/>
        </w:rPr>
        <w:t>1</w:t>
      </w:r>
      <w:r w:rsidR="00AF62C9" w:rsidRPr="0093160C">
        <w:rPr>
          <w:b/>
        </w:rPr>
        <w:fldChar w:fldCharType="end"/>
      </w:r>
      <w:r w:rsidRPr="0093160C">
        <w:rPr>
          <w:b/>
        </w:rPr>
        <w:t>: Effects of containerization (UK/Europe)</w:t>
      </w:r>
    </w:p>
    <w:tbl>
      <w:tblPr>
        <w:tblStyle w:val="TableGrid"/>
        <w:tblW w:w="0" w:type="auto"/>
        <w:tblLook w:val="04A0" w:firstRow="1" w:lastRow="0" w:firstColumn="1" w:lastColumn="0" w:noHBand="0" w:noVBand="1"/>
      </w:tblPr>
      <w:tblGrid>
        <w:gridCol w:w="2983"/>
        <w:gridCol w:w="2959"/>
        <w:gridCol w:w="2964"/>
      </w:tblGrid>
      <w:tr w:rsidR="004261F8" w14:paraId="2B4FD1EE" w14:textId="77777777" w:rsidTr="0093160C">
        <w:tc>
          <w:tcPr>
            <w:tcW w:w="2983" w:type="dxa"/>
          </w:tcPr>
          <w:p w14:paraId="1D5EF36F" w14:textId="77777777" w:rsidR="004261F8" w:rsidRDefault="004261F8" w:rsidP="00A7054E">
            <w:pPr>
              <w:spacing w:line="360" w:lineRule="auto"/>
              <w:jc w:val="both"/>
            </w:pPr>
          </w:p>
        </w:tc>
        <w:tc>
          <w:tcPr>
            <w:tcW w:w="2959" w:type="dxa"/>
          </w:tcPr>
          <w:p w14:paraId="5EADA5A4" w14:textId="77777777" w:rsidR="004261F8" w:rsidRPr="00435E00" w:rsidRDefault="004261F8" w:rsidP="00A7054E">
            <w:pPr>
              <w:spacing w:line="360" w:lineRule="auto"/>
              <w:jc w:val="both"/>
              <w:rPr>
                <w:b/>
              </w:rPr>
            </w:pPr>
            <w:r w:rsidRPr="00435E00">
              <w:rPr>
                <w:b/>
              </w:rPr>
              <w:t>Pre-container: 1965</w:t>
            </w:r>
          </w:p>
        </w:tc>
        <w:tc>
          <w:tcPr>
            <w:tcW w:w="2964" w:type="dxa"/>
          </w:tcPr>
          <w:p w14:paraId="46B866E2" w14:textId="77777777" w:rsidR="004261F8" w:rsidRPr="00435E00" w:rsidRDefault="004261F8" w:rsidP="00A7054E">
            <w:pPr>
              <w:spacing w:line="360" w:lineRule="auto"/>
              <w:jc w:val="both"/>
              <w:rPr>
                <w:b/>
              </w:rPr>
            </w:pPr>
            <w:r w:rsidRPr="00435E00">
              <w:rPr>
                <w:b/>
              </w:rPr>
              <w:t>Container</w:t>
            </w:r>
            <w:r>
              <w:rPr>
                <w:b/>
              </w:rPr>
              <w:t>:</w:t>
            </w:r>
            <w:r w:rsidRPr="00435E00">
              <w:rPr>
                <w:b/>
              </w:rPr>
              <w:t xml:space="preserve"> 1970/71</w:t>
            </w:r>
          </w:p>
        </w:tc>
      </w:tr>
      <w:tr w:rsidR="004261F8" w14:paraId="083F7A7F" w14:textId="77777777" w:rsidTr="0093160C">
        <w:tc>
          <w:tcPr>
            <w:tcW w:w="2983" w:type="dxa"/>
          </w:tcPr>
          <w:p w14:paraId="30356B88" w14:textId="77777777" w:rsidR="004261F8" w:rsidRPr="00B878F1" w:rsidRDefault="004261F8" w:rsidP="00A7054E">
            <w:pPr>
              <w:spacing w:line="360" w:lineRule="auto"/>
              <w:jc w:val="both"/>
              <w:rPr>
                <w:b/>
              </w:rPr>
            </w:pPr>
            <w:r w:rsidRPr="00435E00">
              <w:rPr>
                <w:b/>
              </w:rPr>
              <w:t>Productivity of dock labor</w:t>
            </w:r>
          </w:p>
        </w:tc>
        <w:tc>
          <w:tcPr>
            <w:tcW w:w="2959" w:type="dxa"/>
          </w:tcPr>
          <w:p w14:paraId="0C6B129B" w14:textId="77777777" w:rsidR="004261F8" w:rsidRDefault="004261F8" w:rsidP="00A7054E">
            <w:pPr>
              <w:spacing w:line="360" w:lineRule="auto"/>
              <w:jc w:val="both"/>
            </w:pPr>
            <w:r>
              <w:t>1.7 (tons per hour)</w:t>
            </w:r>
          </w:p>
        </w:tc>
        <w:tc>
          <w:tcPr>
            <w:tcW w:w="2964" w:type="dxa"/>
          </w:tcPr>
          <w:p w14:paraId="02B581C1" w14:textId="77777777" w:rsidR="004261F8" w:rsidRDefault="004261F8" w:rsidP="00A7054E">
            <w:pPr>
              <w:spacing w:line="360" w:lineRule="auto"/>
              <w:jc w:val="both"/>
            </w:pPr>
            <w:r>
              <w:t>30 (tons per hour)</w:t>
            </w:r>
          </w:p>
        </w:tc>
      </w:tr>
      <w:tr w:rsidR="004261F8" w14:paraId="64BA67D7" w14:textId="77777777" w:rsidTr="0093160C">
        <w:tc>
          <w:tcPr>
            <w:tcW w:w="2983" w:type="dxa"/>
          </w:tcPr>
          <w:p w14:paraId="064B0228" w14:textId="77777777" w:rsidR="004261F8" w:rsidRPr="00B878F1" w:rsidRDefault="004261F8" w:rsidP="00A7054E">
            <w:pPr>
              <w:spacing w:line="360" w:lineRule="auto"/>
              <w:jc w:val="both"/>
              <w:rPr>
                <w:b/>
              </w:rPr>
            </w:pPr>
            <w:r w:rsidRPr="00435E00">
              <w:rPr>
                <w:b/>
              </w:rPr>
              <w:t>Average ship size</w:t>
            </w:r>
          </w:p>
        </w:tc>
        <w:tc>
          <w:tcPr>
            <w:tcW w:w="2959" w:type="dxa"/>
          </w:tcPr>
          <w:p w14:paraId="069E5C7E" w14:textId="77777777" w:rsidR="004261F8" w:rsidRDefault="004261F8" w:rsidP="00A7054E">
            <w:pPr>
              <w:spacing w:line="360" w:lineRule="auto"/>
              <w:jc w:val="both"/>
            </w:pPr>
            <w:r>
              <w:t>8.4 (average GRT)</w:t>
            </w:r>
          </w:p>
        </w:tc>
        <w:tc>
          <w:tcPr>
            <w:tcW w:w="2964" w:type="dxa"/>
          </w:tcPr>
          <w:p w14:paraId="044EF930" w14:textId="77777777" w:rsidR="004261F8" w:rsidRDefault="004261F8" w:rsidP="00A7054E">
            <w:pPr>
              <w:spacing w:line="360" w:lineRule="auto"/>
              <w:jc w:val="both"/>
            </w:pPr>
            <w:r>
              <w:t>19.7 (average GRT)</w:t>
            </w:r>
          </w:p>
        </w:tc>
      </w:tr>
      <w:tr w:rsidR="004261F8" w14:paraId="409E68E6" w14:textId="77777777" w:rsidTr="0093160C">
        <w:tc>
          <w:tcPr>
            <w:tcW w:w="2983" w:type="dxa"/>
          </w:tcPr>
          <w:p w14:paraId="5E2E83A4" w14:textId="77777777" w:rsidR="004261F8" w:rsidRDefault="004261F8" w:rsidP="00A7054E">
            <w:pPr>
              <w:spacing w:line="360" w:lineRule="auto"/>
              <w:jc w:val="both"/>
              <w:rPr>
                <w:b/>
              </w:rPr>
            </w:pPr>
            <w:r>
              <w:rPr>
                <w:b/>
              </w:rPr>
              <w:t>Port concentration</w:t>
            </w:r>
          </w:p>
          <w:p w14:paraId="397D0A0A" w14:textId="77777777" w:rsidR="004261F8" w:rsidRPr="00E70D3D" w:rsidRDefault="004261F8" w:rsidP="00A7054E">
            <w:pPr>
              <w:spacing w:line="360" w:lineRule="auto"/>
              <w:jc w:val="both"/>
            </w:pPr>
            <w:r>
              <w:t>(number of European loading ports, southbound Australia)</w:t>
            </w:r>
          </w:p>
        </w:tc>
        <w:tc>
          <w:tcPr>
            <w:tcW w:w="2959" w:type="dxa"/>
          </w:tcPr>
          <w:p w14:paraId="0CF6E4D9" w14:textId="77777777" w:rsidR="004261F8" w:rsidRDefault="004261F8" w:rsidP="00A7054E">
            <w:pPr>
              <w:spacing w:line="360" w:lineRule="auto"/>
              <w:jc w:val="both"/>
            </w:pPr>
            <w:r>
              <w:t>11 ports</w:t>
            </w:r>
          </w:p>
        </w:tc>
        <w:tc>
          <w:tcPr>
            <w:tcW w:w="2964" w:type="dxa"/>
          </w:tcPr>
          <w:p w14:paraId="76B609AF" w14:textId="77777777" w:rsidR="004261F8" w:rsidRDefault="004261F8" w:rsidP="00A7054E">
            <w:pPr>
              <w:spacing w:line="360" w:lineRule="auto"/>
              <w:jc w:val="both"/>
            </w:pPr>
            <w:r>
              <w:t>3 ports</w:t>
            </w:r>
          </w:p>
        </w:tc>
      </w:tr>
      <w:tr w:rsidR="004261F8" w14:paraId="396FFDED" w14:textId="77777777" w:rsidTr="0093160C">
        <w:tc>
          <w:tcPr>
            <w:tcW w:w="2983" w:type="dxa"/>
          </w:tcPr>
          <w:p w14:paraId="182B0FCE" w14:textId="77777777" w:rsidR="004261F8" w:rsidRPr="00B878F1" w:rsidRDefault="004261F8" w:rsidP="00A7054E">
            <w:pPr>
              <w:spacing w:line="360" w:lineRule="auto"/>
              <w:jc w:val="both"/>
              <w:rPr>
                <w:b/>
              </w:rPr>
            </w:pPr>
            <w:r w:rsidRPr="00B878F1">
              <w:rPr>
                <w:b/>
              </w:rPr>
              <w:t>Insurance costs</w:t>
            </w:r>
          </w:p>
          <w:p w14:paraId="470A19EB" w14:textId="77777777" w:rsidR="004261F8" w:rsidRDefault="004261F8" w:rsidP="00A7054E">
            <w:pPr>
              <w:spacing w:line="360" w:lineRule="auto"/>
              <w:jc w:val="both"/>
            </w:pPr>
            <w:r>
              <w:t>(Australia-Europe trade for imports)</w:t>
            </w:r>
          </w:p>
        </w:tc>
        <w:tc>
          <w:tcPr>
            <w:tcW w:w="2959" w:type="dxa"/>
          </w:tcPr>
          <w:p w14:paraId="69911C2B" w14:textId="77777777" w:rsidR="004261F8" w:rsidRDefault="004261F8" w:rsidP="00A7054E">
            <w:pPr>
              <w:spacing w:line="360" w:lineRule="auto"/>
              <w:jc w:val="both"/>
            </w:pPr>
            <w:r>
              <w:t>£0.24  per ton</w:t>
            </w:r>
          </w:p>
        </w:tc>
        <w:tc>
          <w:tcPr>
            <w:tcW w:w="2964" w:type="dxa"/>
          </w:tcPr>
          <w:p w14:paraId="7EF2889D" w14:textId="77777777" w:rsidR="004261F8" w:rsidRDefault="004261F8" w:rsidP="00A7054E">
            <w:pPr>
              <w:spacing w:line="360" w:lineRule="auto"/>
              <w:jc w:val="both"/>
            </w:pPr>
            <w:r>
              <w:t>£0.04  per ton</w:t>
            </w:r>
          </w:p>
        </w:tc>
      </w:tr>
      <w:tr w:rsidR="004261F8" w14:paraId="4B0F4D82" w14:textId="77777777" w:rsidTr="0093160C">
        <w:tc>
          <w:tcPr>
            <w:tcW w:w="2983" w:type="dxa"/>
          </w:tcPr>
          <w:p w14:paraId="186D2F90" w14:textId="77777777" w:rsidR="004261F8" w:rsidRPr="00435E00" w:rsidRDefault="004261F8" w:rsidP="00A7054E">
            <w:pPr>
              <w:spacing w:line="360" w:lineRule="auto"/>
              <w:rPr>
                <w:b/>
              </w:rPr>
            </w:pPr>
            <w:r>
              <w:rPr>
                <w:b/>
              </w:rPr>
              <w:t>Capital locked up as inventory in transit</w:t>
            </w:r>
          </w:p>
          <w:p w14:paraId="2FC65F36" w14:textId="77777777" w:rsidR="004261F8" w:rsidRDefault="004261F8" w:rsidP="00A7054E">
            <w:pPr>
              <w:spacing w:line="360" w:lineRule="auto"/>
            </w:pPr>
            <w:r>
              <w:t>(Route: Hamburg-Sydney)</w:t>
            </w:r>
          </w:p>
        </w:tc>
        <w:tc>
          <w:tcPr>
            <w:tcW w:w="2959" w:type="dxa"/>
          </w:tcPr>
          <w:p w14:paraId="683F616C" w14:textId="77777777" w:rsidR="004261F8" w:rsidRDefault="004261F8" w:rsidP="00A7054E">
            <w:pPr>
              <w:spacing w:line="360" w:lineRule="auto"/>
              <w:jc w:val="both"/>
            </w:pPr>
            <w:r>
              <w:t>£2 per ton</w:t>
            </w:r>
          </w:p>
        </w:tc>
        <w:tc>
          <w:tcPr>
            <w:tcW w:w="2964" w:type="dxa"/>
          </w:tcPr>
          <w:p w14:paraId="62895F06" w14:textId="77777777" w:rsidR="004261F8" w:rsidRDefault="004261F8" w:rsidP="00A7054E">
            <w:pPr>
              <w:spacing w:line="360" w:lineRule="auto"/>
              <w:jc w:val="both"/>
            </w:pPr>
            <w:r>
              <w:t>£1  per ton</w:t>
            </w:r>
          </w:p>
        </w:tc>
      </w:tr>
    </w:tbl>
    <w:p w14:paraId="251D5662" w14:textId="77777777" w:rsidR="004261F8" w:rsidRDefault="004261F8" w:rsidP="004261F8">
      <w:pPr>
        <w:spacing w:line="360" w:lineRule="auto"/>
        <w:ind w:firstLine="720"/>
        <w:rPr>
          <w:i/>
        </w:rPr>
      </w:pPr>
      <w:r w:rsidRPr="00125256">
        <w:rPr>
          <w:i/>
        </w:rPr>
        <w:t>Source: Authors' own compilation from various sources in McKinsey (1972).</w:t>
      </w:r>
    </w:p>
    <w:p w14:paraId="7187C57D" w14:textId="77777777" w:rsidR="00A91E23" w:rsidRDefault="00A91E23" w:rsidP="004261F8">
      <w:pPr>
        <w:spacing w:line="360" w:lineRule="auto"/>
        <w:jc w:val="both"/>
      </w:pPr>
      <w:r>
        <w:t xml:space="preserve">  </w:t>
      </w:r>
    </w:p>
    <w:p w14:paraId="00B04F17" w14:textId="77777777" w:rsidR="00A91E23" w:rsidRDefault="00A91E23" w:rsidP="00A91E23">
      <w:pPr>
        <w:spacing w:line="360" w:lineRule="auto"/>
        <w:ind w:firstLine="720"/>
        <w:jc w:val="both"/>
      </w:pPr>
      <w:r>
        <w:t xml:space="preserve">One of the major benefits of containerization was to remove the bottleneck in freight transport in the crucial land-sea interface. The construction of purpose-designed container terminals increased the productivity of dock labor from 1.7 to 30 tons per hour (Table 1).  Improvement in the efficiency and speed of cargo handling allowed shipping companies to take advantage of economies of scale by more than doubling the average ship size. The resulting increase in port capacity provided </w:t>
      </w:r>
      <w:r>
        <w:lastRenderedPageBreak/>
        <w:t xml:space="preserve">opportunities and pressures for the inland distribution of maritime containers.  In the UK the introduction of railway container terminals went in tandem with port containerization and by 1972 the Far East service alone already operated trains between an ocean terminal and six inland rail terminals.  </w:t>
      </w:r>
    </w:p>
    <w:p w14:paraId="06D6D071" w14:textId="77777777" w:rsidR="00A91E23" w:rsidRDefault="00A91E23" w:rsidP="00A91E23">
      <w:pPr>
        <w:spacing w:line="360" w:lineRule="auto"/>
        <w:ind w:firstLine="720"/>
        <w:jc w:val="both"/>
      </w:pPr>
      <w:r>
        <w:t xml:space="preserve">In the pre-container age, port managers handled and organized the trade of their own industrial hinterlands. </w:t>
      </w:r>
      <w:r w:rsidR="00D43898">
        <w:t xml:space="preserve"> </w:t>
      </w:r>
      <w:r>
        <w:t xml:space="preserve">With the railways taking over the inland distribution, containerization eliminated the notion of a port hinterland and containerized freight became concentrated in a few major terminals. For example, whereas in 1965 ships in the (southbound) Australian trade called at any of 11 loading ports in Europe, by 1972 the entire trade was shared among the three ports of Hamburg, Rotterdam and Tilbury.  Within a few years, a hub-and-spoke system already emerged. </w:t>
      </w:r>
    </w:p>
    <w:p w14:paraId="7A074388" w14:textId="77777777" w:rsidR="00A91E23" w:rsidRDefault="00A91E23" w:rsidP="00A91E23">
      <w:pPr>
        <w:spacing w:line="360" w:lineRule="auto"/>
        <w:ind w:firstLine="720"/>
        <w:jc w:val="both"/>
      </w:pPr>
      <w:r>
        <w:t>A major benefit of sealing cargo at the location of production in a box to be opened at the final destination is that it reduced the pilferage, damage and theft that were so common in the age of break-bulk shipping.  A common joke at the New York piers was that the dockers</w:t>
      </w:r>
      <w:r w:rsidR="00265BB1">
        <w:t>’</w:t>
      </w:r>
      <w:r>
        <w:t xml:space="preserve"> wages were “twenty dollars a day and all the Scotch you could carry home”. The resulting reduction in insurance costs from containerization was considerable.  On the Australia-Europe trade, between 1965 and 1970/71 the insurance costs fell from an average of 24 pennies per ton to 4 pennies per ton (Table 1).  </w:t>
      </w:r>
    </w:p>
    <w:p w14:paraId="03B6C4DD" w14:textId="77777777" w:rsidR="00A91E23" w:rsidRDefault="00A91E23" w:rsidP="00A91E23">
      <w:pPr>
        <w:spacing w:line="360" w:lineRule="auto"/>
        <w:ind w:firstLine="720"/>
        <w:jc w:val="both"/>
      </w:pPr>
      <w:r>
        <w:t xml:space="preserve">Intermodal transport also </w:t>
      </w:r>
      <w:r w:rsidR="007F4048">
        <w:t>de</w:t>
      </w:r>
      <w:r>
        <w:t>creased the time in transit between cargo closing and availability.  Containerization cut the journey between Europe and Australia from 70 to 34 days.  Given that the average cargo at the time was worth about £60 per ton and assuming that the opportunity cost of capital tied up in transit is about 15%, the 36 day improvement cut the capital cost of inventory by about a half (Table 1).</w:t>
      </w:r>
    </w:p>
    <w:p w14:paraId="15AB0550" w14:textId="77777777" w:rsidR="00A91E23" w:rsidRDefault="00A91E23" w:rsidP="00A91E23">
      <w:pPr>
        <w:spacing w:line="360" w:lineRule="auto"/>
        <w:ind w:firstLine="720"/>
        <w:jc w:val="both"/>
      </w:pPr>
      <w:r>
        <w:t>The importance of labor in the operation of ports in the pre-containerization age resulted in the emergence of strong labor unions, which resisted not only labor-saving organizational changes but were also well-organized and effective in calling for strikes. The replacement of capital for labor, which emerged through containerization, ended the frequent delays and uncertainties in shipping caused by these strikes.</w:t>
      </w:r>
      <w:r w:rsidR="007D1D6E">
        <w:rPr>
          <w:rStyle w:val="FootnoteReference"/>
        </w:rPr>
        <w:footnoteReference w:id="15"/>
      </w:r>
      <w:r>
        <w:t xml:space="preserve">  </w:t>
      </w:r>
    </w:p>
    <w:p w14:paraId="5CF79C49" w14:textId="77777777" w:rsidR="00A91E23" w:rsidRDefault="00A91E23" w:rsidP="00A91E23">
      <w:pPr>
        <w:spacing w:line="360" w:lineRule="auto"/>
        <w:jc w:val="both"/>
      </w:pPr>
    </w:p>
    <w:p w14:paraId="22338EA3" w14:textId="77777777" w:rsidR="00A91E23" w:rsidRDefault="00A91E23" w:rsidP="00A91E23">
      <w:pPr>
        <w:spacing w:line="360" w:lineRule="auto"/>
        <w:jc w:val="both"/>
        <w:rPr>
          <w:i/>
        </w:rPr>
      </w:pPr>
      <w:r>
        <w:rPr>
          <w:i/>
        </w:rPr>
        <w:t>2.3 D</w:t>
      </w:r>
      <w:r w:rsidRPr="00246E55">
        <w:rPr>
          <w:i/>
        </w:rPr>
        <w:t>iffusion</w:t>
      </w:r>
      <w:r>
        <w:rPr>
          <w:i/>
        </w:rPr>
        <w:t xml:space="preserve"> of container technology</w:t>
      </w:r>
    </w:p>
    <w:p w14:paraId="2EF3CF32" w14:textId="77777777" w:rsidR="00D71ECB" w:rsidRDefault="0014101A" w:rsidP="00C30900">
      <w:pPr>
        <w:spacing w:line="360" w:lineRule="auto"/>
        <w:ind w:firstLine="720"/>
        <w:jc w:val="both"/>
      </w:pPr>
      <w:r>
        <w:t xml:space="preserve">The early use of containers was driven by private shipping companies who </w:t>
      </w:r>
      <w:r w:rsidR="00CC4C8B">
        <w:t xml:space="preserve">used container sizes </w:t>
      </w:r>
      <w:r w:rsidR="00105494">
        <w:t xml:space="preserve">and loading devices </w:t>
      </w:r>
      <w:r w:rsidR="00CC4C8B">
        <w:t>that best fit their cargo and shipment routes.</w:t>
      </w:r>
      <w:r w:rsidR="00105494">
        <w:t xml:space="preserve"> The first fully containerized ships used 35 foot containers, which was the maximum allowable length for truck traffic on US highways. </w:t>
      </w:r>
      <w:r w:rsidR="00974755">
        <w:t xml:space="preserve"> </w:t>
      </w:r>
      <w:r w:rsidR="00105494">
        <w:t xml:space="preserve">However, </w:t>
      </w:r>
      <w:r w:rsidR="00FD1E54">
        <w:t xml:space="preserve">since </w:t>
      </w:r>
      <w:r w:rsidR="00105494">
        <w:t>a fully loaded container of this size was</w:t>
      </w:r>
      <w:r w:rsidR="00974755">
        <w:t xml:space="preserve"> </w:t>
      </w:r>
      <w:r w:rsidR="00FD1E54">
        <w:t xml:space="preserve">too heavy </w:t>
      </w:r>
      <w:r w:rsidR="00767E95">
        <w:t>for a crane to</w:t>
      </w:r>
      <w:r w:rsidR="00974755">
        <w:t xml:space="preserve"> lift, other </w:t>
      </w:r>
      <w:r w:rsidR="00974755">
        <w:lastRenderedPageBreak/>
        <w:t xml:space="preserve">companies used much smaller sizes which could be much easier stacked and moved with forklifts.  A major force for the international adoption and diffusion of container technology </w:t>
      </w:r>
      <w:r w:rsidR="00F313D5">
        <w:t xml:space="preserve">was the standardization of container </w:t>
      </w:r>
      <w:r w:rsidR="00767E95">
        <w:t>sizes</w:t>
      </w:r>
      <w:r w:rsidR="00F313D5">
        <w:t xml:space="preserve">. The </w:t>
      </w:r>
      <w:r w:rsidR="00C30900">
        <w:t xml:space="preserve">standardization </w:t>
      </w:r>
      <w:r w:rsidR="00F313D5">
        <w:t xml:space="preserve">process was initiated </w:t>
      </w:r>
      <w:r w:rsidR="00C30900">
        <w:t xml:space="preserve">in the US </w:t>
      </w:r>
      <w:r w:rsidR="00F313D5">
        <w:t>by the Federal Maritime Board</w:t>
      </w:r>
      <w:r w:rsidR="00C30900">
        <w:t xml:space="preserve"> and</w:t>
      </w:r>
      <w:r w:rsidR="00F313D5">
        <w:t xml:space="preserve"> </w:t>
      </w:r>
      <w:r w:rsidR="00C30900">
        <w:t>involved stake holders from the maritime sector, truck lines, railroads and trailer manufacturers.</w:t>
      </w:r>
      <w:r w:rsidR="00EC44AD">
        <w:t xml:space="preserve"> </w:t>
      </w:r>
      <w:r w:rsidR="006F60B7">
        <w:t xml:space="preserve">In </w:t>
      </w:r>
      <w:r w:rsidR="00EC44AD">
        <w:t xml:space="preserve">1961, the Federal Maritime Board </w:t>
      </w:r>
      <w:r w:rsidR="006F60B7">
        <w:t>established the standard nominal dimension of containers - 8 feet wide, 8 feet high and 10, 20, 30 and 40 feet long- and announced that only containerships designed for these sizes were able to receive construction subsidies from the US government.</w:t>
      </w:r>
      <w:r w:rsidR="00D71ECB">
        <w:t xml:space="preserve">  </w:t>
      </w:r>
    </w:p>
    <w:p w14:paraId="5A606BAF" w14:textId="77777777" w:rsidR="007071E4" w:rsidRDefault="00D71ECB" w:rsidP="007071E4">
      <w:pPr>
        <w:spacing w:line="360" w:lineRule="auto"/>
        <w:ind w:firstLine="720"/>
        <w:jc w:val="both"/>
      </w:pPr>
      <w:r>
        <w:t>Following the setting of standards in the US, the International Standards Organization (ISO) started to study containerization with the purpose of establishing worldwide guidelines as a prerequisite for firms and government</w:t>
      </w:r>
      <w:r w:rsidR="009B3A7B">
        <w:t>s</w:t>
      </w:r>
      <w:r>
        <w:t xml:space="preserve"> investing in </w:t>
      </w:r>
      <w:r w:rsidR="009B3A7B">
        <w:t xml:space="preserve">internationally compatible </w:t>
      </w:r>
      <w:r w:rsidR="00636882">
        <w:t>container technology.</w:t>
      </w:r>
      <w:r w:rsidR="00A55B5A">
        <w:t xml:space="preserve"> Following a compromise between US and European interest groups, the ISO formally adopted the 10- ,20- , 30- and 40-foot containers plus a few smaller sizes favored by the Europeans as ISO standards in 1964.</w:t>
      </w:r>
      <w:r w:rsidR="00EE4546">
        <w:t xml:space="preserve">  Besides container size, strength requirements and lifting standards were other major aspects the ISO was able to standardize in 1965.</w:t>
      </w:r>
      <w:r w:rsidR="004D025B">
        <w:t xml:space="preserve"> The standardization of container technology was followed by the rise of container leasing companies who had now the incentives to ex</w:t>
      </w:r>
      <w:r w:rsidR="000A27A5">
        <w:t>pand their fleets</w:t>
      </w:r>
      <w:r w:rsidR="00F24803">
        <w:t xml:space="preserve"> and </w:t>
      </w:r>
      <w:r w:rsidR="008750A9">
        <w:t xml:space="preserve">allowing </w:t>
      </w:r>
      <w:r w:rsidR="00F24803">
        <w:t>shippers</w:t>
      </w:r>
      <w:r w:rsidR="008750A9">
        <w:t xml:space="preserve"> the </w:t>
      </w:r>
      <w:r w:rsidR="00F24803">
        <w:t>flexibility to lease containers</w:t>
      </w:r>
      <w:r w:rsidR="008750A9">
        <w:t xml:space="preserve"> and therefore significantly reducing the fixed costs of using this technology. </w:t>
      </w:r>
      <w:r w:rsidR="00EE4546">
        <w:t xml:space="preserve">The ability for land and sea carriers to handle </w:t>
      </w:r>
      <w:r w:rsidR="00265BB1">
        <w:t>each other’s</w:t>
      </w:r>
      <w:r w:rsidR="00BD012A">
        <w:t xml:space="preserve"> </w:t>
      </w:r>
      <w:r w:rsidR="00EE4546">
        <w:t xml:space="preserve">containers in different </w:t>
      </w:r>
      <w:r w:rsidR="004D025B">
        <w:t>locations</w:t>
      </w:r>
      <w:r w:rsidR="00F366AB">
        <w:t xml:space="preserve"> </w:t>
      </w:r>
      <w:r w:rsidR="00EE4546">
        <w:t xml:space="preserve">set the foundation of global container adoption </w:t>
      </w:r>
      <w:r w:rsidR="00F366AB">
        <w:t>around the globe.</w:t>
      </w:r>
    </w:p>
    <w:p w14:paraId="400FED18" w14:textId="77777777" w:rsidR="000C2D90" w:rsidRDefault="00F366AB" w:rsidP="007071E4">
      <w:pPr>
        <w:spacing w:line="360" w:lineRule="auto"/>
        <w:ind w:firstLine="720"/>
        <w:jc w:val="both"/>
      </w:pPr>
      <w:r>
        <w:t xml:space="preserve">The adoption of container technology in international trade started in 1966 and the period of 1966-1983 </w:t>
      </w:r>
      <w:r w:rsidR="00F564E0">
        <w:t xml:space="preserve">has been labeled </w:t>
      </w:r>
      <w:r w:rsidR="00E30BFA">
        <w:t xml:space="preserve">by geographers </w:t>
      </w:r>
      <w:r>
        <w:t>as the era of global diffusion of container technology around the globe</w:t>
      </w:r>
      <w:r w:rsidR="00E30BFA">
        <w:t xml:space="preserve"> (Kuby and Reid,</w:t>
      </w:r>
      <w:r w:rsidR="0058660F">
        <w:t xml:space="preserve"> 1992)</w:t>
      </w:r>
      <w:r>
        <w:t>.</w:t>
      </w:r>
      <w:r w:rsidR="000C1E1F">
        <w:rPr>
          <w:rStyle w:val="FootnoteReference"/>
        </w:rPr>
        <w:footnoteReference w:id="16"/>
      </w:r>
      <w:r w:rsidR="000C2D90">
        <w:t xml:space="preserve"> The introduction of container technology started with a country’s investment in container port facilities but quickly progressed to engulf other parts of the transportation network, like rail and road transport. </w:t>
      </w:r>
      <w:r w:rsidR="00C97DF4">
        <w:t xml:space="preserve"> </w:t>
      </w:r>
      <w:r w:rsidR="000C2D90">
        <w:t xml:space="preserve">Accompanying technological changes were larger </w:t>
      </w:r>
      <w:r w:rsidR="00042468">
        <w:t>ships and trains and increased use of computers and telecommunications for managing and tracking intermodal movement.</w:t>
      </w:r>
    </w:p>
    <w:p w14:paraId="3E07875D" w14:textId="77777777" w:rsidR="00C97DF4" w:rsidRDefault="00A157A8" w:rsidP="008C21CB">
      <w:pPr>
        <w:spacing w:line="360" w:lineRule="auto"/>
        <w:ind w:firstLine="720"/>
        <w:jc w:val="both"/>
      </w:pPr>
      <w:r>
        <w:t xml:space="preserve">From </w:t>
      </w:r>
      <w:r w:rsidR="008C21CB">
        <w:t xml:space="preserve">our calculations of an underlying </w:t>
      </w:r>
      <w:r>
        <w:t>sample of 157 countries, 122 entered the container age by first processing container cargo via port or railway facilities between 1966 and 1983 while 35 countries remained uncontainerized as of 1990.</w:t>
      </w:r>
      <w:r w:rsidR="00265BB1">
        <w:t xml:space="preserve">  Appendix Table 3</w:t>
      </w:r>
      <w:r w:rsidR="007D6E49">
        <w:t xml:space="preserve"> lists all sample countries and reveals considerable cross-sectional and </w:t>
      </w:r>
      <w:r w:rsidR="008C6CF4">
        <w:t>time variation of countries’ adoption of container port facilities during the sample per</w:t>
      </w:r>
      <w:r w:rsidR="007D6E49">
        <w:t>iod.</w:t>
      </w:r>
    </w:p>
    <w:p w14:paraId="41E0C5DD" w14:textId="77777777" w:rsidR="00D57C00" w:rsidRDefault="00B06BF0" w:rsidP="00546C30">
      <w:pPr>
        <w:spacing w:line="360" w:lineRule="auto"/>
        <w:ind w:firstLine="720"/>
        <w:jc w:val="both"/>
      </w:pPr>
      <w:r>
        <w:lastRenderedPageBreak/>
        <w:t xml:space="preserve">How quickly did containerization diffuse through an economy’s transportation sector following </w:t>
      </w:r>
      <w:r w:rsidR="00951826">
        <w:t>its</w:t>
      </w:r>
      <w:r>
        <w:t xml:space="preserve"> initial adoption of container port facilities?</w:t>
      </w:r>
      <w:r w:rsidR="00951826">
        <w:t xml:space="preserve"> </w:t>
      </w:r>
      <w:r w:rsidR="006A576F">
        <w:t xml:space="preserve"> </w:t>
      </w:r>
      <w:r w:rsidR="00951826">
        <w:t xml:space="preserve">In </w:t>
      </w:r>
      <w:r w:rsidR="006A576F">
        <w:t xml:space="preserve">answering </w:t>
      </w:r>
      <w:r w:rsidR="00951826">
        <w:t xml:space="preserve">this question, </w:t>
      </w:r>
      <w:r w:rsidR="006A576F">
        <w:t xml:space="preserve">two things need to be recognized.  First, some tradable goods like assembled automobiles, heavy machinery, construction equipment and some steel products can’t be put into containers. Second, </w:t>
      </w:r>
      <w:r w:rsidR="005608B5">
        <w:t>technological advancement in container technology has expanded the range of containerizable products over time. For example, initially food products were not containeri</w:t>
      </w:r>
      <w:r w:rsidR="00546C30">
        <w:t>z</w:t>
      </w:r>
      <w:r w:rsidR="005608B5">
        <w:t>able, but through the development of refrigerated containers, food became containerizable</w:t>
      </w:r>
      <w:r w:rsidR="00A54FB8">
        <w:t xml:space="preserve"> in later years</w:t>
      </w:r>
      <w:r w:rsidR="005608B5">
        <w:t xml:space="preserve">. </w:t>
      </w:r>
      <w:r w:rsidR="00007893">
        <w:t xml:space="preserve"> </w:t>
      </w:r>
      <w:r w:rsidR="00D57C00">
        <w:t xml:space="preserve">A measure of the </w:t>
      </w:r>
      <w:r w:rsidR="00D57C00" w:rsidRPr="00007893">
        <w:rPr>
          <w:i/>
        </w:rPr>
        <w:t>degree of container</w:t>
      </w:r>
      <w:r w:rsidR="009142E0" w:rsidRPr="00007893">
        <w:rPr>
          <w:i/>
        </w:rPr>
        <w:t xml:space="preserve"> </w:t>
      </w:r>
      <w:r w:rsidR="007011CF">
        <w:rPr>
          <w:i/>
        </w:rPr>
        <w:t>utilization</w:t>
      </w:r>
      <w:r w:rsidR="009142E0">
        <w:t xml:space="preserve"> </w:t>
      </w:r>
      <w:r w:rsidR="00D57C00">
        <w:t xml:space="preserve">of </w:t>
      </w:r>
      <w:r w:rsidR="009142E0">
        <w:t xml:space="preserve">the </w:t>
      </w:r>
      <w:r w:rsidR="00FC15C0">
        <w:t xml:space="preserve">international </w:t>
      </w:r>
      <w:r w:rsidR="009142E0">
        <w:t xml:space="preserve">transportation system </w:t>
      </w:r>
      <w:r w:rsidR="00007893">
        <w:t xml:space="preserve">of </w:t>
      </w:r>
      <w:r w:rsidR="00D57C00">
        <w:t xml:space="preserve">an economy i at time t, is then the ratio of the </w:t>
      </w:r>
      <w:r w:rsidR="005A2501">
        <w:t>economy’s</w:t>
      </w:r>
      <w:r w:rsidR="00D57C00">
        <w:t xml:space="preserve"> traded containerized cargo over its traded containerizable cargo,</w:t>
      </w:r>
    </w:p>
    <w:p w14:paraId="67138946" w14:textId="77777777" w:rsidR="002C5C25" w:rsidRDefault="002C5C25" w:rsidP="002C5C25">
      <w:pPr>
        <w:spacing w:line="360" w:lineRule="auto"/>
        <w:jc w:val="both"/>
      </w:pPr>
    </w:p>
    <w:p w14:paraId="73862209" w14:textId="77777777" w:rsidR="006A576F" w:rsidRDefault="00544168" w:rsidP="002C5C25">
      <w:pPr>
        <w:spacing w:line="360" w:lineRule="auto"/>
        <w:jc w:val="both"/>
      </w:pPr>
      <w:r w:rsidRPr="002C5C25">
        <w:t>c</w:t>
      </w:r>
      <w:r w:rsidR="00D57C00" w:rsidRPr="002C5C25">
        <w:t>ontainer</w:t>
      </w:r>
      <w:r w:rsidRPr="002C5C25">
        <w:t xml:space="preserve"> </w:t>
      </w:r>
      <w:r w:rsidR="007011CF" w:rsidRPr="002C5C25">
        <w:t>utilization</w:t>
      </w:r>
      <w:r w:rsidR="00D57C00" w:rsidRPr="002C5C25">
        <w:rPr>
          <w:vertAlign w:val="subscript"/>
        </w:rPr>
        <w:t>it</w:t>
      </w:r>
      <w:r w:rsidR="002C5C25" w:rsidRPr="002C5C25">
        <w:t xml:space="preserve"> = </w:t>
      </w:r>
      <w:r w:rsidR="00D57C00" w:rsidRPr="002C5C25">
        <w:t>(</w:t>
      </w:r>
      <w:r w:rsidR="002C5C25" w:rsidRPr="002C5C25">
        <w:t xml:space="preserve">traded </w:t>
      </w:r>
      <w:r w:rsidR="00D57C00" w:rsidRPr="002C5C25">
        <w:t>containerized cargo</w:t>
      </w:r>
      <w:r w:rsidR="00D57C00" w:rsidRPr="002C5C25">
        <w:rPr>
          <w:vertAlign w:val="subscript"/>
        </w:rPr>
        <w:t>it</w:t>
      </w:r>
      <w:r w:rsidR="00D57C00" w:rsidRPr="002C5C25">
        <w:t>)/(</w:t>
      </w:r>
      <w:r w:rsidR="002C5C25" w:rsidRPr="002C5C25">
        <w:t xml:space="preserve">traded </w:t>
      </w:r>
      <w:r w:rsidR="00D57C00" w:rsidRPr="002C5C25">
        <w:t>containerizable cargo</w:t>
      </w:r>
      <w:r w:rsidR="00D57C00" w:rsidRPr="002C5C25">
        <w:rPr>
          <w:vertAlign w:val="subscript"/>
        </w:rPr>
        <w:t>it</w:t>
      </w:r>
      <w:r w:rsidR="002C5C25" w:rsidRPr="002C5C25">
        <w:t xml:space="preserve">) </w:t>
      </w:r>
      <w:r w:rsidR="00BC0806">
        <w:tab/>
      </w:r>
      <w:r w:rsidR="00BC0806">
        <w:tab/>
      </w:r>
      <w:r w:rsidR="00D57C00" w:rsidRPr="002C5C25">
        <w:t>(1)</w:t>
      </w:r>
      <w:r w:rsidR="005608B5" w:rsidRPr="002C5C25">
        <w:t xml:space="preserve"> </w:t>
      </w:r>
    </w:p>
    <w:p w14:paraId="7BD4AAC7" w14:textId="77777777" w:rsidR="002C5C25" w:rsidRDefault="002C5C25" w:rsidP="00B06BF0">
      <w:pPr>
        <w:spacing w:line="360" w:lineRule="auto"/>
        <w:ind w:firstLine="720"/>
        <w:jc w:val="both"/>
      </w:pPr>
    </w:p>
    <w:p w14:paraId="28A889B5" w14:textId="77777777" w:rsidR="00AF3D6E" w:rsidRDefault="00FC33ED" w:rsidP="00A54FB8">
      <w:pPr>
        <w:spacing w:line="360" w:lineRule="auto"/>
        <w:ind w:firstLine="720"/>
        <w:jc w:val="both"/>
      </w:pPr>
      <w:r>
        <w:t xml:space="preserve">Fortunately, the denominator of (1) can be calculated based on a study by the </w:t>
      </w:r>
      <w:r w:rsidRPr="00FC33ED">
        <w:rPr>
          <w:i/>
        </w:rPr>
        <w:t>Verband deutscher Ingenieure</w:t>
      </w:r>
      <w:r w:rsidR="003022DE">
        <w:t xml:space="preserve"> (German Engineers</w:t>
      </w:r>
      <w:r>
        <w:t xml:space="preserve"> Society) which classified 4-digit SITC industries according to whether they </w:t>
      </w:r>
      <w:r w:rsidR="00644AA5">
        <w:t>were</w:t>
      </w:r>
      <w:r>
        <w:t xml:space="preserve"> suitable for containers as of 1968.</w:t>
      </w:r>
      <w:r w:rsidR="00E94A30">
        <w:rPr>
          <w:rStyle w:val="FootnoteReference"/>
        </w:rPr>
        <w:footnoteReference w:id="17"/>
      </w:r>
      <w:r w:rsidR="00E94A30">
        <w:t xml:space="preserve"> </w:t>
      </w:r>
      <w:r w:rsidR="00FC15C0">
        <w:t xml:space="preserve">The calculation of (1) faces the challenge that containers can cross borders through different modes of transport (sea, rail, truck and air) and that there exist no data on traded container tonnage via rail, trucks or air.  However, for island economies like the UK and Japan, where (at the time) </w:t>
      </w:r>
      <w:r w:rsidR="00E44E1A">
        <w:t xml:space="preserve">the majority of </w:t>
      </w:r>
      <w:r w:rsidR="00FC15C0">
        <w:t xml:space="preserve">international trade went through sea ports, it is possible to </w:t>
      </w:r>
      <w:r w:rsidR="00544168">
        <w:t xml:space="preserve">trace </w:t>
      </w:r>
      <w:r w:rsidR="00A54FB8">
        <w:t>their growth of container utilization following their first adoption of the technology.</w:t>
      </w:r>
      <w:r w:rsidR="00FC15C0">
        <w:rPr>
          <w:rStyle w:val="FootnoteReference"/>
        </w:rPr>
        <w:footnoteReference w:id="18"/>
      </w:r>
      <w:r w:rsidR="007B74EA">
        <w:t xml:space="preserve"> </w:t>
      </w:r>
      <w:r w:rsidR="00FC15C0">
        <w:t xml:space="preserve"> </w:t>
      </w:r>
      <w:r w:rsidR="00A54FB8">
        <w:t xml:space="preserve">For </w:t>
      </w:r>
      <w:r w:rsidR="007011CF">
        <w:t>these two countries, (1) can be calculated by combining d</w:t>
      </w:r>
      <w:r w:rsidR="007B74EA">
        <w:t>ata on container tonnage</w:t>
      </w:r>
      <w:r w:rsidR="00193166">
        <w:t xml:space="preserve"> </w:t>
      </w:r>
      <w:r w:rsidR="007B74EA">
        <w:t>going through sea ports</w:t>
      </w:r>
      <w:r w:rsidR="007011CF">
        <w:t xml:space="preserve"> </w:t>
      </w:r>
      <w:r w:rsidR="007B74EA">
        <w:t xml:space="preserve">available from </w:t>
      </w:r>
      <w:r w:rsidR="007B74EA" w:rsidRPr="005F1DD0">
        <w:rPr>
          <w:i/>
        </w:rPr>
        <w:t>Containerisation International</w:t>
      </w:r>
      <w:r w:rsidR="007B74EA">
        <w:t xml:space="preserve"> </w:t>
      </w:r>
      <w:r w:rsidR="007011CF">
        <w:t xml:space="preserve">with tonnage of trade in containerizable industries  provided by the </w:t>
      </w:r>
      <w:r w:rsidR="007011CF" w:rsidRPr="007011CF">
        <w:rPr>
          <w:i/>
        </w:rPr>
        <w:t>OECD International Trade by Commodity Statistics</w:t>
      </w:r>
      <w:r w:rsidR="007011CF">
        <w:t xml:space="preserve">. </w:t>
      </w:r>
    </w:p>
    <w:p w14:paraId="64B7B081" w14:textId="77777777" w:rsidR="003022DE" w:rsidRDefault="003022DE" w:rsidP="003022DE">
      <w:pPr>
        <w:spacing w:line="360" w:lineRule="auto"/>
        <w:ind w:firstLine="720"/>
        <w:jc w:val="both"/>
      </w:pPr>
      <w:r>
        <w:tab/>
        <w:t xml:space="preserve">Figure 2 depicts the index of container utilization in international trade for the UK and Japan during the period of 1965-1979. </w:t>
      </w:r>
      <w:r>
        <w:rPr>
          <w:rStyle w:val="FootnoteReference"/>
        </w:rPr>
        <w:footnoteReference w:id="19"/>
      </w:r>
      <w:r>
        <w:t xml:space="preserve">  The UK adopted its first container facilities in 1966 and the technology diffused quite rapidly. The utilization grows from 20% in 1967 to about 80% in 1973 and remains then quite flat, which can be explained by the oil shock and the recession following the oil crisis.   The picture for Japan is quite similar.  Japan adopted containerization in 1969 and the utilization index grows from 20% in 1970 to 80% in 1976.</w:t>
      </w:r>
    </w:p>
    <w:p w14:paraId="75FB3733" w14:textId="77777777" w:rsidR="003022DE" w:rsidRDefault="003022DE" w:rsidP="003A0A5E">
      <w:pPr>
        <w:spacing w:line="360" w:lineRule="auto"/>
        <w:jc w:val="both"/>
      </w:pPr>
    </w:p>
    <w:p w14:paraId="4181A6C6" w14:textId="77777777" w:rsidR="00A92A53" w:rsidRDefault="00A7054E" w:rsidP="003022DE">
      <w:pPr>
        <w:jc w:val="center"/>
        <w:rPr>
          <w:b/>
        </w:rPr>
      </w:pPr>
      <w:r w:rsidRPr="00AE69C6">
        <w:rPr>
          <w:b/>
        </w:rPr>
        <w:lastRenderedPageBreak/>
        <w:t xml:space="preserve">Figure </w:t>
      </w:r>
      <w:r w:rsidR="007D6E49">
        <w:rPr>
          <w:b/>
        </w:rPr>
        <w:t>2</w:t>
      </w:r>
      <w:r w:rsidRPr="00AE69C6">
        <w:rPr>
          <w:b/>
        </w:rPr>
        <w:t xml:space="preserve">: </w:t>
      </w:r>
      <w:r>
        <w:rPr>
          <w:b/>
        </w:rPr>
        <w:t>Changes in c</w:t>
      </w:r>
      <w:r w:rsidRPr="00AE69C6">
        <w:rPr>
          <w:b/>
        </w:rPr>
        <w:t xml:space="preserve">ontainer </w:t>
      </w:r>
      <w:r>
        <w:rPr>
          <w:b/>
        </w:rPr>
        <w:t xml:space="preserve">utilization </w:t>
      </w:r>
      <w:r w:rsidR="003022DE">
        <w:rPr>
          <w:b/>
        </w:rPr>
        <w:t>in the UK and Japan</w:t>
      </w:r>
    </w:p>
    <w:p w14:paraId="25E7CE87" w14:textId="77777777" w:rsidR="00A92A53" w:rsidRDefault="00A92A53" w:rsidP="00A7054E">
      <w:pPr>
        <w:rPr>
          <w:b/>
        </w:rPr>
      </w:pPr>
    </w:p>
    <w:p w14:paraId="48EAC74A" w14:textId="77777777" w:rsidR="00A92A53" w:rsidRDefault="003A0A5E" w:rsidP="00265BB1">
      <w:pPr>
        <w:jc w:val="center"/>
        <w:rPr>
          <w:b/>
        </w:rPr>
      </w:pPr>
      <w:r>
        <w:rPr>
          <w:b/>
          <w:noProof/>
        </w:rPr>
        <w:drawing>
          <wp:inline distT="0" distB="0" distL="0" distR="0" wp14:anchorId="33EC3A1E" wp14:editId="087E6067">
            <wp:extent cx="4925683" cy="3071004"/>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gree_of_containerisation_per_country[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25460" cy="3070865"/>
                    </a:xfrm>
                    <a:prstGeom prst="rect">
                      <a:avLst/>
                    </a:prstGeom>
                  </pic:spPr>
                </pic:pic>
              </a:graphicData>
            </a:graphic>
          </wp:inline>
        </w:drawing>
      </w:r>
    </w:p>
    <w:p w14:paraId="71EC4F33" w14:textId="77777777" w:rsidR="00AC2E08" w:rsidRDefault="00AC2E08" w:rsidP="007D6E49">
      <w:pPr>
        <w:spacing w:line="360" w:lineRule="auto"/>
      </w:pPr>
    </w:p>
    <w:p w14:paraId="11A75842" w14:textId="77777777" w:rsidR="00C97DF4" w:rsidRPr="00586B18" w:rsidRDefault="00C97DF4" w:rsidP="00586B18">
      <w:pPr>
        <w:spacing w:line="360" w:lineRule="auto"/>
        <w:jc w:val="both"/>
        <w:rPr>
          <w:i/>
        </w:rPr>
      </w:pPr>
      <w:r w:rsidRPr="00C05356">
        <w:rPr>
          <w:i/>
        </w:rPr>
        <w:t>2.4. Cont</w:t>
      </w:r>
      <w:r w:rsidR="00586B18">
        <w:rPr>
          <w:i/>
        </w:rPr>
        <w:t>ainerization and land transport</w:t>
      </w:r>
    </w:p>
    <w:p w14:paraId="5BF191D9" w14:textId="77777777" w:rsidR="00B31134" w:rsidRDefault="00170017" w:rsidP="007A24DF">
      <w:pPr>
        <w:spacing w:line="360" w:lineRule="auto"/>
        <w:ind w:firstLine="720"/>
        <w:jc w:val="both"/>
      </w:pPr>
      <w:r>
        <w:t>A defining element of the adoption of container technology is the creat</w:t>
      </w:r>
      <w:r w:rsidR="0048406F">
        <w:t>ion of intermodal transport.  C</w:t>
      </w:r>
      <w:r w:rsidR="00A91E23">
        <w:t xml:space="preserve">ontainerization was quickly picked up by railways in different countries.  For example, in response to port containerization, and in an effort to avoid being left out, the railways of Europe came together in 1967 and formed </w:t>
      </w:r>
      <w:r w:rsidR="00A91E23" w:rsidRPr="007042F0">
        <w:rPr>
          <w:i/>
        </w:rPr>
        <w:t>Intercontainer</w:t>
      </w:r>
      <w:r w:rsidR="00A91E23">
        <w:t>, The International Association for Transcontainer Traffic. This company was formed to handle containers on the Continent and compete with traditional shipping lines.</w:t>
      </w:r>
      <w:r w:rsidR="00A91E23">
        <w:rPr>
          <w:rStyle w:val="FootnoteReference"/>
        </w:rPr>
        <w:footnoteReference w:id="20"/>
      </w:r>
      <w:r w:rsidR="00A91E23">
        <w:t xml:space="preserve">  Railway containerization allowed landlocked countries like Austria and Switzerland to ship their goods in containers to sea ports in neighboring countries destined to overseas destinations. In many cases, this was cheaper and less laborious than road transportation. In a comprehensive cost study for the UK, McKinsey (1967</w:t>
      </w:r>
      <w:r w:rsidR="00B56A1A">
        <w:t>) calculated</w:t>
      </w:r>
      <w:r w:rsidR="00A91E23">
        <w:t xml:space="preserve"> that container transport was cheaper by rail than truck for journeys above 100 miles.</w:t>
      </w:r>
      <w:r w:rsidR="0048406F">
        <w:t xml:space="preserve"> </w:t>
      </w:r>
      <w:r w:rsidR="00A91E23">
        <w:t xml:space="preserve"> </w:t>
      </w:r>
      <w:r w:rsidR="00A91E23" w:rsidRPr="00F63218">
        <w:rPr>
          <w:i/>
        </w:rPr>
        <w:t xml:space="preserve">Containerisation </w:t>
      </w:r>
      <w:r w:rsidR="00B56A1A" w:rsidRPr="00F63218">
        <w:rPr>
          <w:i/>
        </w:rPr>
        <w:t>International</w:t>
      </w:r>
      <w:r w:rsidR="00B56A1A">
        <w:t xml:space="preserve"> (</w:t>
      </w:r>
      <w:r w:rsidR="00A91E23">
        <w:t xml:space="preserve">1972) estimated that the cost of moving 1 TEU (twenty foot equivalent unit container) between Paris and </w:t>
      </w:r>
    </w:p>
    <w:p w14:paraId="5D7522AC" w14:textId="77777777" w:rsidR="00A7054E" w:rsidRDefault="00A91E23" w:rsidP="00B31134">
      <w:pPr>
        <w:spacing w:line="360" w:lineRule="auto"/>
        <w:jc w:val="both"/>
      </w:pPr>
      <w:r>
        <w:t>Cologne in 1972 was a</w:t>
      </w:r>
      <w:r w:rsidR="00353287">
        <w:t>bout 7</w:t>
      </w:r>
      <w:r>
        <w:t>5% of the equivalent road costs.</w:t>
      </w:r>
      <w:r w:rsidR="00F6080F">
        <w:rPr>
          <w:rStyle w:val="FootnoteReference"/>
        </w:rPr>
        <w:footnoteReference w:id="21"/>
      </w:r>
      <w:r>
        <w:t xml:space="preserve"> </w:t>
      </w:r>
    </w:p>
    <w:p w14:paraId="71C00F73" w14:textId="77777777" w:rsidR="007A24DF" w:rsidRDefault="00453C25" w:rsidP="00261AFE">
      <w:pPr>
        <w:spacing w:line="360" w:lineRule="auto"/>
        <w:ind w:firstLine="720"/>
        <w:jc w:val="both"/>
      </w:pPr>
      <w:r>
        <w:lastRenderedPageBreak/>
        <w:t xml:space="preserve">Although the majority of </w:t>
      </w:r>
      <w:r w:rsidR="006D57C1">
        <w:t xml:space="preserve">non-land locked </w:t>
      </w:r>
      <w:r w:rsidR="00A91E23">
        <w:t>countries adopted railway container</w:t>
      </w:r>
      <w:r>
        <w:t xml:space="preserve"> facility after their introduction of </w:t>
      </w:r>
      <w:r w:rsidR="006D57C1">
        <w:t xml:space="preserve">container sea ports, for some the ordering was reversed. </w:t>
      </w:r>
      <w:r w:rsidR="0048406F">
        <w:t xml:space="preserve"> </w:t>
      </w:r>
      <w:r w:rsidR="006D57C1">
        <w:t xml:space="preserve">For example, Norway entered the container age via their railway network in 1969, five years before the adoption at their sea ports. </w:t>
      </w:r>
      <w:r w:rsidR="007A24DF">
        <w:t xml:space="preserve">This suggests that countries could enter the container age either through the introduction of rail or sea ports container facilities. </w:t>
      </w:r>
      <w:r w:rsidR="0048406F">
        <w:t xml:space="preserve"> </w:t>
      </w:r>
      <w:r w:rsidR="007A24DF">
        <w:t xml:space="preserve">In the subsequent analysis we investigate the </w:t>
      </w:r>
      <w:r w:rsidR="005A5FAD">
        <w:t>differential effects of sea port only containerization and sea or railway containerization.</w:t>
      </w:r>
      <w:r w:rsidR="007A24DF">
        <w:t xml:space="preserve"> </w:t>
      </w:r>
    </w:p>
    <w:p w14:paraId="701DAF5A" w14:textId="77777777" w:rsidR="00A91E23" w:rsidRPr="00150805" w:rsidRDefault="00A91E23" w:rsidP="00A91E23">
      <w:pPr>
        <w:spacing w:line="360" w:lineRule="auto"/>
        <w:jc w:val="both"/>
      </w:pPr>
    </w:p>
    <w:p w14:paraId="3DDD0436" w14:textId="77777777" w:rsidR="00A91E23" w:rsidRPr="00B23ACC" w:rsidRDefault="00A91E23" w:rsidP="00A91E23">
      <w:pPr>
        <w:jc w:val="both"/>
      </w:pPr>
      <w:r w:rsidRPr="00BA5DA8">
        <w:rPr>
          <w:b/>
        </w:rPr>
        <w:t>3. Empirical implementation</w:t>
      </w:r>
    </w:p>
    <w:p w14:paraId="62F75079" w14:textId="77777777" w:rsidR="00A91E23" w:rsidRDefault="00A91E23" w:rsidP="00A91E23">
      <w:pPr>
        <w:spacing w:line="360" w:lineRule="auto"/>
        <w:jc w:val="both"/>
        <w:rPr>
          <w:b/>
        </w:rPr>
      </w:pPr>
    </w:p>
    <w:p w14:paraId="44D72F63" w14:textId="77777777" w:rsidR="00A91E23" w:rsidRPr="00AC6727" w:rsidRDefault="00A91E23" w:rsidP="00A91E23">
      <w:pPr>
        <w:spacing w:line="360" w:lineRule="auto"/>
        <w:jc w:val="both"/>
        <w:rPr>
          <w:i/>
        </w:rPr>
      </w:pPr>
      <w:r w:rsidRPr="00AC6727">
        <w:rPr>
          <w:i/>
        </w:rPr>
        <w:t xml:space="preserve">3.1. </w:t>
      </w:r>
      <w:r w:rsidR="004E136B">
        <w:rPr>
          <w:i/>
        </w:rPr>
        <w:t xml:space="preserve">Quantifying </w:t>
      </w:r>
      <w:r w:rsidRPr="00AC6727">
        <w:rPr>
          <w:i/>
        </w:rPr>
        <w:t>containerization</w:t>
      </w:r>
    </w:p>
    <w:p w14:paraId="0E41C55B" w14:textId="77777777" w:rsidR="004E136B" w:rsidRDefault="00A91E23" w:rsidP="00CE5F6E">
      <w:pPr>
        <w:spacing w:line="360" w:lineRule="auto"/>
        <w:ind w:firstLine="720"/>
        <w:jc w:val="both"/>
      </w:pPr>
      <w:r>
        <w:t>Our objective is to estimate the effect of containerization on international trade. The key question that arises is how to capture this technological change quantitatively. Since</w:t>
      </w:r>
      <w:r w:rsidR="004E136B">
        <w:t xml:space="preserve"> the adoption of container technology </w:t>
      </w:r>
      <w:r w:rsidR="00C05ED9">
        <w:t>triggered complementary technological and organizational changes</w:t>
      </w:r>
      <w:r w:rsidR="00B90812">
        <w:t xml:space="preserve"> that affected an economy’s entire transportation</w:t>
      </w:r>
      <w:r w:rsidR="007C6313">
        <w:t xml:space="preserve"> system this</w:t>
      </w:r>
      <w:r w:rsidR="00B90812">
        <w:t xml:space="preserve"> </w:t>
      </w:r>
      <w:r w:rsidR="00B56A1A">
        <w:t xml:space="preserve">suggests </w:t>
      </w:r>
      <w:r w:rsidR="00926505">
        <w:t>quantifying</w:t>
      </w:r>
      <w:r w:rsidR="00B90812">
        <w:t xml:space="preserve"> this technological change at the economy level.</w:t>
      </w:r>
      <w:r w:rsidR="000C628D">
        <w:t xml:space="preserve">  </w:t>
      </w:r>
      <w:r w:rsidR="0064027F">
        <w:t>If data on the international shipments via rail or truck were available</w:t>
      </w:r>
      <w:r w:rsidR="008444C3">
        <w:t xml:space="preserve"> and the </w:t>
      </w:r>
      <w:r w:rsidR="00EA7516">
        <w:t>containerizability</w:t>
      </w:r>
      <w:r w:rsidR="008444C3">
        <w:t xml:space="preserve"> of an industry were fixed over time, </w:t>
      </w:r>
      <w:r w:rsidR="0064027F">
        <w:t xml:space="preserve">the container utilization index (1) </w:t>
      </w:r>
      <w:r w:rsidR="008444C3">
        <w:t xml:space="preserve">would be </w:t>
      </w:r>
      <w:r w:rsidR="00EA7516">
        <w:t xml:space="preserve">a sensible </w:t>
      </w:r>
      <w:r w:rsidR="0064027F">
        <w:t xml:space="preserve">measure of the technological change. </w:t>
      </w:r>
      <w:r w:rsidR="008444C3">
        <w:t xml:space="preserve"> </w:t>
      </w:r>
      <w:r w:rsidR="0064027F">
        <w:t>Howev</w:t>
      </w:r>
      <w:r w:rsidR="008444C3">
        <w:t xml:space="preserve">er, because of the absence of the appropriate data and the occurrence of technological </w:t>
      </w:r>
      <w:r w:rsidR="00EA7516">
        <w:t xml:space="preserve">change </w:t>
      </w:r>
      <w:r w:rsidR="008444C3">
        <w:t>regarding containerizability,</w:t>
      </w:r>
      <w:r w:rsidR="00EA7516">
        <w:t xml:space="preserve"> </w:t>
      </w:r>
      <w:r w:rsidR="000D43B1">
        <w:t>we can’t go this path.</w:t>
      </w:r>
      <w:r w:rsidR="00EA7516">
        <w:t xml:space="preserve"> </w:t>
      </w:r>
      <w:r w:rsidR="008444C3">
        <w:t xml:space="preserve"> </w:t>
      </w:r>
      <w:r w:rsidR="0064027F">
        <w:t xml:space="preserve"> </w:t>
      </w:r>
      <w:r w:rsidR="000D43B1">
        <w:t xml:space="preserve">Alternatively, </w:t>
      </w:r>
      <w:r w:rsidR="0064027F">
        <w:t xml:space="preserve">the </w:t>
      </w:r>
      <w:r w:rsidR="00DA176E">
        <w:t xml:space="preserve">quick rise </w:t>
      </w:r>
      <w:r w:rsidR="0064027F">
        <w:t>in the container utilization for the UK and Japan</w:t>
      </w:r>
      <w:r w:rsidR="00DA176E">
        <w:t xml:space="preserve"> justifies </w:t>
      </w:r>
      <w:r w:rsidR="00D73802">
        <w:t>quantifying</w:t>
      </w:r>
      <w:r w:rsidR="00DA176E">
        <w:t xml:space="preserve"> containerization by a qualitatively variable that switches from 0 to 1 when country i enters the container age at time t. </w:t>
      </w:r>
      <w:r w:rsidR="000D43B1">
        <w:t xml:space="preserve"> </w:t>
      </w:r>
      <w:r w:rsidR="005F469A">
        <w:t xml:space="preserve">Entrance into the container age can occur through the first use of either sea ports or inland railway ports. </w:t>
      </w:r>
      <w:r w:rsidR="000D43B1">
        <w:t xml:space="preserve"> </w:t>
      </w:r>
      <w:r w:rsidR="00DA176E">
        <w:t>An advantage of this specification is that it captures the intermodal aspect</w:t>
      </w:r>
      <w:r w:rsidR="00DC695B">
        <w:t xml:space="preserve"> of containerization since it encompasses land-locked countries like Austria and Switzerland who entered the container age via rail</w:t>
      </w:r>
      <w:r w:rsidR="00DA176E">
        <w:t xml:space="preserve"> </w:t>
      </w:r>
      <w:r w:rsidR="00DC695B">
        <w:t>connection to the container sea ports of Rotterdam and Hamburg.</w:t>
      </w:r>
      <w:r w:rsidR="000D43B1">
        <w:t xml:space="preserve">  </w:t>
      </w:r>
      <w:r w:rsidR="004739B8">
        <w:t xml:space="preserve">Based on the information </w:t>
      </w:r>
      <w:r w:rsidR="00CE5F6E">
        <w:t xml:space="preserve">provided in the published volumes of </w:t>
      </w:r>
      <w:r w:rsidR="00CE5F6E" w:rsidRPr="00CE5F6E">
        <w:rPr>
          <w:i/>
        </w:rPr>
        <w:t>Containerisation International</w:t>
      </w:r>
      <w:r w:rsidR="00CE5F6E">
        <w:t xml:space="preserve"> between 1970 and 1992, we construct a </w:t>
      </w:r>
      <w:r w:rsidR="000D43B1">
        <w:t>time-varying container adoption variable</w:t>
      </w:r>
      <w:r w:rsidR="00CE5F6E">
        <w:t xml:space="preserve"> for country </w:t>
      </w:r>
      <w:r w:rsidR="00CE5F6E" w:rsidRPr="00CE5F6E">
        <w:rPr>
          <w:i/>
        </w:rPr>
        <w:t>i</w:t>
      </w:r>
      <w:r w:rsidR="000D43B1">
        <w:t xml:space="preserve">, </w:t>
      </w:r>
      <w:r w:rsidR="000D43B1" w:rsidRPr="000D43B1">
        <w:rPr>
          <w:i/>
        </w:rPr>
        <w:t>adoptcont</w:t>
      </w:r>
      <w:r w:rsidR="000D43B1" w:rsidRPr="000D43B1">
        <w:rPr>
          <w:i/>
          <w:vertAlign w:val="subscript"/>
        </w:rPr>
        <w:t>it</w:t>
      </w:r>
      <w:r w:rsidR="00CE5F6E">
        <w:t>, defined as</w:t>
      </w:r>
      <w:r w:rsidR="000D43B1">
        <w:t>:</w:t>
      </w:r>
    </w:p>
    <w:p w14:paraId="0C3CE61D" w14:textId="77777777" w:rsidR="00B90812" w:rsidRPr="002C0B02" w:rsidRDefault="005F469A" w:rsidP="00B90812">
      <w:pPr>
        <w:spacing w:line="360" w:lineRule="auto"/>
        <w:jc w:val="both"/>
        <w:rPr>
          <w:sz w:val="22"/>
          <w:szCs w:val="22"/>
        </w:rPr>
      </w:pPr>
      <w:r>
        <w:rPr>
          <w:sz w:val="22"/>
          <w:szCs w:val="22"/>
        </w:rPr>
        <w:t xml:space="preserve">       </w:t>
      </w:r>
      <m:oMath>
        <m:sSub>
          <m:sSubPr>
            <m:ctrlPr>
              <w:rPr>
                <w:rFonts w:ascii="Cambria Math" w:hAnsi="Cambria Math"/>
                <w:i/>
                <w:sz w:val="22"/>
                <w:szCs w:val="22"/>
              </w:rPr>
            </m:ctrlPr>
          </m:sSubPr>
          <m:e>
            <m:r>
              <w:rPr>
                <w:rFonts w:ascii="Cambria Math" w:hAnsi="Cambria Math"/>
                <w:sz w:val="22"/>
                <w:szCs w:val="22"/>
              </w:rPr>
              <m:t>adoptcont</m:t>
            </m:r>
          </m:e>
          <m:sub>
            <m:r>
              <w:rPr>
                <w:rFonts w:ascii="Cambria Math" w:hAnsi="Cambria Math"/>
                <w:sz w:val="22"/>
                <w:szCs w:val="22"/>
              </w:rPr>
              <m:t>it</m:t>
            </m:r>
            <m:r>
              <w:rPr>
                <w:rFonts w:ascii="Cambria Math"/>
                <w:sz w:val="22"/>
                <w:szCs w:val="22"/>
              </w:rPr>
              <m:t xml:space="preserve"> </m:t>
            </m:r>
          </m:sub>
        </m:sSub>
        <m:r>
          <w:rPr>
            <w:rFonts w:ascii="Cambria Math"/>
            <w:sz w:val="22"/>
            <w:szCs w:val="22"/>
          </w:rPr>
          <m:t>=</m:t>
        </m:r>
        <m:d>
          <m:dPr>
            <m:begChr m:val="{"/>
            <m:endChr m:val="}"/>
            <m:ctrlPr>
              <w:rPr>
                <w:rFonts w:ascii="Cambria Math" w:hAnsi="Cambria Math"/>
                <w:i/>
                <w:sz w:val="22"/>
                <w:szCs w:val="22"/>
              </w:rPr>
            </m:ctrlPr>
          </m:dPr>
          <m:e>
            <m:m>
              <m:mPr>
                <m:mcs>
                  <m:mc>
                    <m:mcPr>
                      <m:count m:val="1"/>
                      <m:mcJc m:val="center"/>
                    </m:mcPr>
                  </m:mc>
                </m:mcs>
                <m:ctrlPr>
                  <w:rPr>
                    <w:rFonts w:ascii="Cambria Math" w:hAnsi="Cambria Math"/>
                    <w:i/>
                    <w:sz w:val="22"/>
                    <w:szCs w:val="22"/>
                  </w:rPr>
                </m:ctrlPr>
              </m:mPr>
              <m:mr>
                <m:e>
                  <m:r>
                    <w:rPr>
                      <w:rFonts w:ascii="Cambria Math"/>
                      <w:sz w:val="22"/>
                      <w:szCs w:val="22"/>
                    </w:rPr>
                    <m:t xml:space="preserve">1  </m:t>
                  </m:r>
                  <m:r>
                    <w:rPr>
                      <w:rFonts w:ascii="Cambria Math" w:hAnsi="Cambria Math"/>
                      <w:sz w:val="22"/>
                      <w:szCs w:val="22"/>
                    </w:rPr>
                    <m:t>if</m:t>
                  </m:r>
                  <m:r>
                    <w:rPr>
                      <w:rFonts w:ascii="Cambria Math"/>
                      <w:sz w:val="22"/>
                      <w:szCs w:val="22"/>
                    </w:rPr>
                    <m:t xml:space="preserve"> country i </m:t>
                  </m:r>
                  <m:r>
                    <w:rPr>
                      <w:rFonts w:ascii="Cambria Math" w:hAnsi="Cambria Math"/>
                      <w:sz w:val="22"/>
                      <w:szCs w:val="22"/>
                    </w:rPr>
                    <m:t xml:space="preserve">uses </m:t>
                  </m:r>
                  <m:r>
                    <w:rPr>
                      <w:rFonts w:ascii="Cambria Math"/>
                      <w:sz w:val="22"/>
                      <w:szCs w:val="22"/>
                    </w:rPr>
                    <m:t xml:space="preserve">sea or rail container </m:t>
                  </m:r>
                  <m:r>
                    <w:rPr>
                      <w:rFonts w:ascii="Cambria Math" w:hAnsi="Cambria Math"/>
                      <w:sz w:val="22"/>
                      <w:szCs w:val="22"/>
                    </w:rPr>
                    <m:t>ports</m:t>
                  </m:r>
                  <m:r>
                    <w:rPr>
                      <w:rFonts w:ascii="Cambria Math"/>
                      <w:sz w:val="22"/>
                      <w:szCs w:val="22"/>
                    </w:rPr>
                    <m:t xml:space="preserve"> in year t          </m:t>
                  </m:r>
                  <m:r>
                    <w:rPr>
                      <w:rFonts w:ascii="Cambria Math" w:hAnsi="Cambria Math"/>
                      <w:sz w:val="22"/>
                      <w:szCs w:val="22"/>
                    </w:rPr>
                    <m:t xml:space="preserve"> </m:t>
                  </m:r>
                </m:e>
              </m:mr>
              <m:mr>
                <m:e>
                  <m:r>
                    <w:rPr>
                      <w:rFonts w:ascii="Cambria Math"/>
                      <w:sz w:val="22"/>
                      <w:szCs w:val="22"/>
                    </w:rPr>
                    <m:t xml:space="preserve">     0       </m:t>
                  </m:r>
                  <m:r>
                    <w:rPr>
                      <w:rFonts w:ascii="Cambria Math" w:hAnsi="Cambria Math"/>
                      <w:sz w:val="22"/>
                      <w:szCs w:val="22"/>
                    </w:rPr>
                    <m:t>ot</m:t>
                  </m:r>
                  <m:r>
                    <w:rPr>
                      <w:rFonts w:hAnsi="Cambria Math"/>
                      <w:sz w:val="22"/>
                      <w:szCs w:val="22"/>
                    </w:rPr>
                    <m:t>h</m:t>
                  </m:r>
                  <m:r>
                    <w:rPr>
                      <w:rFonts w:ascii="Cambria Math" w:hAnsi="Cambria Math"/>
                      <w:sz w:val="22"/>
                      <w:szCs w:val="22"/>
                    </w:rPr>
                    <m:t>erwise</m:t>
                  </m:r>
                  <m:r>
                    <w:rPr>
                      <w:rFonts w:ascii="Cambria Math"/>
                      <w:sz w:val="22"/>
                      <w:szCs w:val="22"/>
                    </w:rPr>
                    <m:t xml:space="preserve">                                                                                                   </m:t>
                  </m:r>
                </m:e>
              </m:mr>
            </m:m>
          </m:e>
        </m:d>
      </m:oMath>
      <w:r w:rsidR="00B90812" w:rsidRPr="002C0B02">
        <w:rPr>
          <w:sz w:val="22"/>
          <w:szCs w:val="22"/>
        </w:rPr>
        <w:tab/>
      </w:r>
      <w:r w:rsidR="00765286">
        <w:rPr>
          <w:sz w:val="22"/>
          <w:szCs w:val="22"/>
        </w:rPr>
        <w:t xml:space="preserve"> </w:t>
      </w:r>
      <w:r w:rsidR="00B90812">
        <w:rPr>
          <w:sz w:val="22"/>
          <w:szCs w:val="22"/>
        </w:rPr>
        <w:t>(2)</w:t>
      </w:r>
    </w:p>
    <w:p w14:paraId="1754A6E7" w14:textId="77777777" w:rsidR="00170017" w:rsidRDefault="00170017" w:rsidP="00D40496">
      <w:pPr>
        <w:spacing w:line="360" w:lineRule="auto"/>
        <w:jc w:val="both"/>
      </w:pPr>
    </w:p>
    <w:p w14:paraId="2593A085" w14:textId="77777777" w:rsidR="00D40496" w:rsidRDefault="00D40496" w:rsidP="009C7CDE">
      <w:pPr>
        <w:spacing w:line="360" w:lineRule="auto"/>
        <w:ind w:firstLine="720"/>
        <w:jc w:val="both"/>
      </w:pPr>
      <w:r>
        <w:t xml:space="preserve">Although a country’s adoption of container technology is expected to have some effect on its overall trade, the nature of container technology suggests </w:t>
      </w:r>
      <w:r w:rsidR="009C7CDE">
        <w:t xml:space="preserve">that containerization is more adequately captured in a bilateral trading context since this allows us to specify the presence of container </w:t>
      </w:r>
      <w:r w:rsidR="009C7CDE">
        <w:lastRenderedPageBreak/>
        <w:t xml:space="preserve">technology of a country’s trading partner.  </w:t>
      </w:r>
      <w:r w:rsidR="00151085">
        <w:t xml:space="preserve">This suggests </w:t>
      </w:r>
      <w:r w:rsidR="00B56A1A">
        <w:t>capturing</w:t>
      </w:r>
      <w:r w:rsidR="00683D62">
        <w:t xml:space="preserve"> containerization </w:t>
      </w:r>
      <w:r w:rsidR="00230D2A">
        <w:t xml:space="preserve">by </w:t>
      </w:r>
      <w:r w:rsidR="00683D62">
        <w:t>a</w:t>
      </w:r>
      <w:r w:rsidR="00230D2A">
        <w:t xml:space="preserve"> time-varying </w:t>
      </w:r>
      <w:r w:rsidR="00683D62">
        <w:t xml:space="preserve">bilateral </w:t>
      </w:r>
      <w:r w:rsidR="009C7CDE">
        <w:t xml:space="preserve">technology </w:t>
      </w:r>
      <w:r w:rsidR="00683D62">
        <w:t>variable</w:t>
      </w:r>
      <w:r w:rsidR="00765286">
        <w:t>, defined as:</w:t>
      </w:r>
    </w:p>
    <w:p w14:paraId="2B81D56D" w14:textId="77777777" w:rsidR="00683D62" w:rsidRPr="000B6D9A" w:rsidRDefault="00683D62" w:rsidP="00683D62">
      <w:pPr>
        <w:spacing w:line="360" w:lineRule="auto"/>
        <w:jc w:val="both"/>
      </w:pPr>
    </w:p>
    <w:p w14:paraId="2EE57889" w14:textId="77777777" w:rsidR="00683D62" w:rsidRPr="002C0B02" w:rsidRDefault="001521FE" w:rsidP="00683D62">
      <w:pPr>
        <w:spacing w:line="360" w:lineRule="auto"/>
        <w:jc w:val="both"/>
        <w:rPr>
          <w:sz w:val="22"/>
          <w:szCs w:val="22"/>
        </w:rPr>
      </w:pPr>
      <m:oMath>
        <m:sSub>
          <m:sSubPr>
            <m:ctrlPr>
              <w:rPr>
                <w:rFonts w:ascii="Cambria Math" w:hAnsi="Cambria Math"/>
                <w:i/>
                <w:sz w:val="22"/>
                <w:szCs w:val="22"/>
              </w:rPr>
            </m:ctrlPr>
          </m:sSubPr>
          <m:e>
            <m:r>
              <w:rPr>
                <w:rFonts w:ascii="Cambria Math" w:hAnsi="Cambria Math"/>
                <w:sz w:val="22"/>
                <w:szCs w:val="22"/>
              </w:rPr>
              <m:t>fullcont</m:t>
            </m:r>
          </m:e>
          <m:sub>
            <m:r>
              <w:rPr>
                <w:rFonts w:ascii="Cambria Math" w:hAnsi="Cambria Math"/>
                <w:sz w:val="22"/>
                <w:szCs w:val="22"/>
              </w:rPr>
              <m:t>ijti</m:t>
            </m:r>
            <m:r>
              <w:rPr>
                <w:rFonts w:ascii="Cambria Math"/>
                <w:sz w:val="22"/>
                <w:szCs w:val="22"/>
              </w:rPr>
              <m:t xml:space="preserve"> </m:t>
            </m:r>
          </m:sub>
        </m:sSub>
        <m:r>
          <w:rPr>
            <w:rFonts w:ascii="Cambria Math"/>
            <w:sz w:val="22"/>
            <w:szCs w:val="22"/>
          </w:rPr>
          <m:t>=</m:t>
        </m:r>
        <m:d>
          <m:dPr>
            <m:begChr m:val="{"/>
            <m:endChr m:val="}"/>
            <m:ctrlPr>
              <w:rPr>
                <w:rFonts w:ascii="Cambria Math" w:hAnsi="Cambria Math"/>
                <w:i/>
                <w:sz w:val="22"/>
                <w:szCs w:val="22"/>
              </w:rPr>
            </m:ctrlPr>
          </m:dPr>
          <m:e>
            <m:m>
              <m:mPr>
                <m:mcs>
                  <m:mc>
                    <m:mcPr>
                      <m:count m:val="1"/>
                      <m:mcJc m:val="center"/>
                    </m:mcPr>
                  </m:mc>
                </m:mcs>
                <m:ctrlPr>
                  <w:rPr>
                    <w:rFonts w:ascii="Cambria Math" w:hAnsi="Cambria Math"/>
                    <w:i/>
                    <w:sz w:val="22"/>
                    <w:szCs w:val="22"/>
                  </w:rPr>
                </m:ctrlPr>
              </m:mPr>
              <m:mr>
                <m:e>
                  <m:r>
                    <w:rPr>
                      <w:rFonts w:ascii="Cambria Math"/>
                      <w:sz w:val="22"/>
                      <w:szCs w:val="22"/>
                    </w:rPr>
                    <m:t xml:space="preserve">1  </m:t>
                  </m:r>
                  <m:r>
                    <w:rPr>
                      <w:rFonts w:ascii="Cambria Math" w:hAnsi="Cambria Math"/>
                      <w:sz w:val="22"/>
                      <w:szCs w:val="22"/>
                    </w:rPr>
                    <m:t>if</m:t>
                  </m:r>
                  <m:r>
                    <w:rPr>
                      <w:rFonts w:ascii="Cambria Math"/>
                      <w:sz w:val="22"/>
                      <w:szCs w:val="22"/>
                    </w:rPr>
                    <m:t xml:space="preserve"> </m:t>
                  </m:r>
                  <m:r>
                    <w:rPr>
                      <w:rFonts w:ascii="Cambria Math" w:hAnsi="Cambria Math"/>
                      <w:sz w:val="22"/>
                      <w:szCs w:val="22"/>
                    </w:rPr>
                    <m:t>i</m:t>
                  </m:r>
                  <m:r>
                    <w:rPr>
                      <w:rFonts w:ascii="Cambria Math"/>
                      <w:sz w:val="22"/>
                      <w:szCs w:val="22"/>
                    </w:rPr>
                    <m:t xml:space="preserve"> </m:t>
                  </m:r>
                  <m:r>
                    <w:rPr>
                      <w:rFonts w:ascii="Cambria Math" w:hAnsi="Cambria Math"/>
                      <w:sz w:val="22"/>
                      <w:szCs w:val="22"/>
                    </w:rPr>
                    <m:t>and</m:t>
                  </m:r>
                  <m:r>
                    <w:rPr>
                      <w:rFonts w:ascii="Cambria Math"/>
                      <w:sz w:val="22"/>
                      <w:szCs w:val="22"/>
                    </w:rPr>
                    <m:t xml:space="preserve"> </m:t>
                  </m:r>
                  <m:r>
                    <w:rPr>
                      <w:rFonts w:ascii="Cambria Math" w:hAnsi="Cambria Math"/>
                      <w:sz w:val="22"/>
                      <w:szCs w:val="22"/>
                    </w:rPr>
                    <m:t>j</m:t>
                  </m:r>
                  <m:r>
                    <w:rPr>
                      <w:rFonts w:ascii="Cambria Math"/>
                      <w:sz w:val="22"/>
                      <w:szCs w:val="22"/>
                    </w:rPr>
                    <m:t xml:space="preserve"> </m:t>
                  </m:r>
                  <m:r>
                    <w:rPr>
                      <w:rFonts w:hAnsi="Cambria Math"/>
                      <w:sz w:val="22"/>
                      <w:szCs w:val="22"/>
                    </w:rPr>
                    <m:t>h</m:t>
                  </m:r>
                  <m:r>
                    <w:rPr>
                      <w:rFonts w:ascii="Cambria Math" w:hAnsi="Cambria Math"/>
                      <w:sz w:val="22"/>
                      <w:szCs w:val="22"/>
                    </w:rPr>
                    <m:t>ave</m:t>
                  </m:r>
                  <m:r>
                    <w:rPr>
                      <w:rFonts w:ascii="Cambria Math"/>
                      <w:sz w:val="22"/>
                      <w:szCs w:val="22"/>
                    </w:rPr>
                    <m:t xml:space="preserve"> </m:t>
                  </m:r>
                  <m:r>
                    <w:rPr>
                      <w:rFonts w:ascii="Cambria Math" w:hAnsi="Cambria Math"/>
                      <w:sz w:val="22"/>
                      <w:szCs w:val="22"/>
                    </w:rPr>
                    <m:t>bot</m:t>
                  </m:r>
                  <m:r>
                    <w:rPr>
                      <w:rFonts w:hAnsi="Cambria Math"/>
                      <w:sz w:val="22"/>
                      <w:szCs w:val="22"/>
                    </w:rPr>
                    <m:t>h</m:t>
                  </m:r>
                  <m:r>
                    <w:rPr>
                      <w:rFonts w:ascii="Cambria Math"/>
                      <w:sz w:val="22"/>
                      <w:szCs w:val="22"/>
                    </w:rPr>
                    <m:t xml:space="preserve"> </m:t>
                  </m:r>
                  <m:r>
                    <w:rPr>
                      <w:rFonts w:ascii="Cambria Math" w:hAnsi="Cambria Math"/>
                      <w:sz w:val="22"/>
                      <w:szCs w:val="22"/>
                    </w:rPr>
                    <m:t>containerized</m:t>
                  </m:r>
                  <m:r>
                    <w:rPr>
                      <w:rFonts w:ascii="Cambria Math"/>
                      <w:sz w:val="22"/>
                      <w:szCs w:val="22"/>
                    </w:rPr>
                    <m:t xml:space="preserve"> </m:t>
                  </m:r>
                  <m:r>
                    <w:rPr>
                      <w:rFonts w:ascii="Cambria Math" w:hAnsi="Cambria Math"/>
                      <w:sz w:val="22"/>
                      <w:szCs w:val="22"/>
                    </w:rPr>
                    <m:t>ports</m:t>
                  </m:r>
                  <m:r>
                    <w:rPr>
                      <w:rFonts w:ascii="Cambria Math"/>
                      <w:sz w:val="22"/>
                      <w:szCs w:val="22"/>
                    </w:rPr>
                    <m:t xml:space="preserve"> </m:t>
                  </m:r>
                  <m:r>
                    <w:rPr>
                      <w:rFonts w:ascii="Cambria Math" w:hAnsi="Cambria Math"/>
                      <w:sz w:val="22"/>
                      <w:szCs w:val="22"/>
                    </w:rPr>
                    <m:t>or</m:t>
                  </m:r>
                  <m:r>
                    <w:rPr>
                      <w:rFonts w:ascii="Cambria Math"/>
                      <w:sz w:val="22"/>
                      <w:szCs w:val="22"/>
                    </w:rPr>
                    <m:t xml:space="preserve"> </m:t>
                  </m:r>
                  <m:r>
                    <w:rPr>
                      <w:rFonts w:ascii="Cambria Math" w:hAnsi="Cambria Math"/>
                      <w:sz w:val="22"/>
                      <w:szCs w:val="22"/>
                    </w:rPr>
                    <m:t>railways</m:t>
                  </m:r>
                  <m:r>
                    <w:rPr>
                      <w:rFonts w:ascii="Cambria Math"/>
                      <w:sz w:val="22"/>
                      <w:szCs w:val="22"/>
                    </w:rPr>
                    <m:t xml:space="preserve">  in year  </m:t>
                  </m:r>
                  <m:r>
                    <w:rPr>
                      <w:rFonts w:ascii="Cambria Math" w:hAnsi="Cambria Math"/>
                      <w:sz w:val="22"/>
                      <w:szCs w:val="22"/>
                    </w:rPr>
                    <m:t>t</m:t>
                  </m:r>
                </m:e>
              </m:mr>
              <m:mr>
                <m:e>
                  <m:r>
                    <w:rPr>
                      <w:rFonts w:ascii="Cambria Math"/>
                      <w:sz w:val="22"/>
                      <w:szCs w:val="22"/>
                    </w:rPr>
                    <m:t xml:space="preserve">  0                      </m:t>
                  </m:r>
                  <m:r>
                    <w:rPr>
                      <w:rFonts w:ascii="Cambria Math" w:hAnsi="Cambria Math"/>
                      <w:sz w:val="22"/>
                      <w:szCs w:val="22"/>
                    </w:rPr>
                    <m:t>ot</m:t>
                  </m:r>
                  <m:r>
                    <w:rPr>
                      <w:rFonts w:hAnsi="Cambria Math"/>
                      <w:sz w:val="22"/>
                      <w:szCs w:val="22"/>
                    </w:rPr>
                    <m:t>h</m:t>
                  </m:r>
                  <m:r>
                    <w:rPr>
                      <w:rFonts w:ascii="Cambria Math" w:hAnsi="Cambria Math"/>
                      <w:sz w:val="22"/>
                      <w:szCs w:val="22"/>
                    </w:rPr>
                    <m:t>erwise</m:t>
                  </m:r>
                  <m:r>
                    <w:rPr>
                      <w:rFonts w:ascii="Cambria Math"/>
                      <w:sz w:val="22"/>
                      <w:szCs w:val="22"/>
                    </w:rPr>
                    <m:t xml:space="preserve">                                                                                       </m:t>
                  </m:r>
                </m:e>
              </m:mr>
            </m:m>
          </m:e>
        </m:d>
      </m:oMath>
      <w:r w:rsidR="00683D62" w:rsidRPr="002C0B02">
        <w:rPr>
          <w:sz w:val="22"/>
          <w:szCs w:val="22"/>
        </w:rPr>
        <w:tab/>
      </w:r>
      <w:r w:rsidR="00765286">
        <w:rPr>
          <w:sz w:val="22"/>
          <w:szCs w:val="22"/>
        </w:rPr>
        <w:t xml:space="preserve"> </w:t>
      </w:r>
      <w:r w:rsidR="00683D62">
        <w:rPr>
          <w:sz w:val="22"/>
          <w:szCs w:val="22"/>
        </w:rPr>
        <w:t>(3)</w:t>
      </w:r>
    </w:p>
    <w:p w14:paraId="344DF39E" w14:textId="77777777" w:rsidR="00683D62" w:rsidRDefault="00683D62" w:rsidP="00683D62">
      <w:pPr>
        <w:spacing w:line="360" w:lineRule="auto"/>
        <w:jc w:val="both"/>
        <w:rPr>
          <w:b/>
        </w:rPr>
      </w:pPr>
    </w:p>
    <w:p w14:paraId="2D87B1B1" w14:textId="77777777" w:rsidR="00FC6493" w:rsidRDefault="00230D2A" w:rsidP="00FC6493">
      <w:pPr>
        <w:spacing w:line="360" w:lineRule="auto"/>
        <w:ind w:firstLine="720"/>
        <w:jc w:val="both"/>
      </w:pPr>
      <w:r>
        <w:t>From an econometric point of view, there are several advantage</w:t>
      </w:r>
      <w:r w:rsidR="00D73802">
        <w:t>s</w:t>
      </w:r>
      <w:r>
        <w:t xml:space="preserve"> quantifying containerization by a time-varying bilateral variable.  Since we are interested in </w:t>
      </w:r>
      <w:r w:rsidR="00E851F3">
        <w:t xml:space="preserve">exploring </w:t>
      </w:r>
      <w:r>
        <w:t xml:space="preserve">causal effects of container technology on </w:t>
      </w:r>
      <w:r w:rsidR="00F1027B">
        <w:t xml:space="preserve">trade, one worries about potential selection bias in the adoption of container technology. </w:t>
      </w:r>
      <w:r w:rsidR="008E3F50">
        <w:t xml:space="preserve"> Armed with “ex post” </w:t>
      </w:r>
      <w:r w:rsidR="00F1027B">
        <w:t>knowledge that container</w:t>
      </w:r>
      <w:r w:rsidR="008E3F50">
        <w:t xml:space="preserve">ization revolutionized </w:t>
      </w:r>
      <w:r w:rsidR="00F1027B">
        <w:t xml:space="preserve"> </w:t>
      </w:r>
      <w:r w:rsidR="008E3F50">
        <w:t>global freight</w:t>
      </w:r>
      <w:r w:rsidR="004163AE">
        <w:t xml:space="preserve"> transport</w:t>
      </w:r>
      <w:r w:rsidR="008E3F50">
        <w:t xml:space="preserve">,  one would be inclined to infer that countries </w:t>
      </w:r>
      <w:r w:rsidR="008F799A">
        <w:t>that initially traded a lot would be most likely to adopt container technology.</w:t>
      </w:r>
      <w:r w:rsidR="0028014E">
        <w:t xml:space="preserve">  </w:t>
      </w:r>
      <w:r w:rsidR="004163AE">
        <w:t>However, as</w:t>
      </w:r>
      <w:r w:rsidR="0028014E">
        <w:t xml:space="preserve"> we</w:t>
      </w:r>
      <w:r w:rsidR="004163AE">
        <w:t xml:space="preserve"> have</w:t>
      </w:r>
      <w:r w:rsidR="0028014E">
        <w:t xml:space="preserve"> pointed out in our </w:t>
      </w:r>
      <w:r w:rsidR="004163AE">
        <w:t xml:space="preserve">historical </w:t>
      </w:r>
      <w:r w:rsidR="0028014E">
        <w:t xml:space="preserve">narrative in section 2, from the relevant decision point of view of the 1960s, containerization was </w:t>
      </w:r>
      <w:r w:rsidR="004163AE">
        <w:t xml:space="preserve">by many </w:t>
      </w:r>
      <w:r w:rsidR="0028014E">
        <w:t xml:space="preserve">viewed as </w:t>
      </w:r>
      <w:r w:rsidR="004163AE">
        <w:t xml:space="preserve">a </w:t>
      </w:r>
      <w:r w:rsidR="0028014E">
        <w:t xml:space="preserve">niche technology with highly uncertain global impact. This line of reasoning has been substantiated </w:t>
      </w:r>
      <w:r w:rsidR="00194BE9">
        <w:t>in</w:t>
      </w:r>
      <w:r w:rsidR="0028014E">
        <w:t xml:space="preserve"> a recent </w:t>
      </w:r>
      <w:r w:rsidR="004923F7">
        <w:t xml:space="preserve">study </w:t>
      </w:r>
      <w:r w:rsidR="0028014E">
        <w:t xml:space="preserve">by Rua (2012) </w:t>
      </w:r>
      <w:r w:rsidR="00194BE9">
        <w:t xml:space="preserve">who </w:t>
      </w:r>
      <w:r w:rsidR="004923F7">
        <w:t>found that a country’s share of world trade does not always have a significant effect on its likelihood to adopt containerization.</w:t>
      </w:r>
      <w:r w:rsidR="006A7700">
        <w:rPr>
          <w:rStyle w:val="FootnoteReference"/>
        </w:rPr>
        <w:footnoteReference w:id="22"/>
      </w:r>
      <w:r w:rsidR="004923F7">
        <w:t xml:space="preserve"> </w:t>
      </w:r>
      <w:r w:rsidR="0028014E">
        <w:t xml:space="preserve">  </w:t>
      </w:r>
      <w:r w:rsidR="0053490A">
        <w:t>Given that a country’s trade share did not necessarily affect its decision to containerize</w:t>
      </w:r>
      <w:r w:rsidR="00FC6493">
        <w:t xml:space="preserve">, the </w:t>
      </w:r>
      <w:r w:rsidR="001A4B02">
        <w:t xml:space="preserve">bilateral </w:t>
      </w:r>
      <w:r w:rsidR="00FC6493">
        <w:t xml:space="preserve">technology </w:t>
      </w:r>
      <w:r w:rsidR="001A4B02">
        <w:t xml:space="preserve">adoption variable </w:t>
      </w:r>
      <w:r w:rsidR="001A4B02" w:rsidRPr="00FC6493">
        <w:rPr>
          <w:i/>
        </w:rPr>
        <w:t>fullcont</w:t>
      </w:r>
      <w:r w:rsidR="001A4B02" w:rsidRPr="00FC6493">
        <w:rPr>
          <w:i/>
          <w:vertAlign w:val="subscript"/>
        </w:rPr>
        <w:t>ijt</w:t>
      </w:r>
      <w:r w:rsidR="00FC6493">
        <w:t xml:space="preserve"> is likely to be characterized by even a higher degree of serendipity than the unilateral adoption variable </w:t>
      </w:r>
      <w:r w:rsidR="00FC6493" w:rsidRPr="00FC6493">
        <w:rPr>
          <w:i/>
        </w:rPr>
        <w:t>adoptcont</w:t>
      </w:r>
      <w:r w:rsidR="00FC6493" w:rsidRPr="00FC6493">
        <w:rPr>
          <w:i/>
          <w:vertAlign w:val="subscript"/>
        </w:rPr>
        <w:t>it</w:t>
      </w:r>
      <w:r w:rsidR="00FC6493">
        <w:t xml:space="preserve">. </w:t>
      </w:r>
    </w:p>
    <w:p w14:paraId="49B89D1B" w14:textId="77777777" w:rsidR="002A5EC3" w:rsidRDefault="002A5EC3" w:rsidP="00FC6493">
      <w:pPr>
        <w:spacing w:line="360" w:lineRule="auto"/>
        <w:ind w:firstLine="720"/>
        <w:jc w:val="both"/>
      </w:pPr>
      <w:r>
        <w:t xml:space="preserve">Given the important role of maritime trade in overall trade we also examine the sole impact of port containerization by defining a </w:t>
      </w:r>
      <w:r w:rsidR="00FC6493">
        <w:t xml:space="preserve">port containerization variable </w:t>
      </w:r>
      <w:r w:rsidR="00FC6493" w:rsidRPr="00FC6493">
        <w:rPr>
          <w:i/>
        </w:rPr>
        <w:t>portc</w:t>
      </w:r>
      <w:r w:rsidRPr="00FC6493">
        <w:rPr>
          <w:i/>
        </w:rPr>
        <w:t>ont</w:t>
      </w:r>
      <w:r w:rsidRPr="00FC6493">
        <w:rPr>
          <w:i/>
          <w:vertAlign w:val="subscript"/>
        </w:rPr>
        <w:t>ijt</w:t>
      </w:r>
      <w:r>
        <w:t xml:space="preserve"> as: </w:t>
      </w:r>
    </w:p>
    <w:p w14:paraId="4A6FEB6D" w14:textId="77777777" w:rsidR="002A5EC3" w:rsidRDefault="002A5EC3" w:rsidP="002A5EC3">
      <w:pPr>
        <w:spacing w:line="360" w:lineRule="auto"/>
        <w:jc w:val="both"/>
        <w:rPr>
          <w:b/>
        </w:rPr>
      </w:pPr>
    </w:p>
    <w:p w14:paraId="42A78D8A" w14:textId="77777777" w:rsidR="002A5EC3" w:rsidRDefault="001521FE" w:rsidP="002A5EC3">
      <w:pPr>
        <w:spacing w:line="360" w:lineRule="auto"/>
        <w:jc w:val="both"/>
      </w:pPr>
      <m:oMath>
        <m:sSub>
          <m:sSubPr>
            <m:ctrlPr>
              <w:rPr>
                <w:rFonts w:ascii="Cambria Math" w:hAnsi="Cambria Math"/>
                <w:i/>
                <w:sz w:val="22"/>
                <w:szCs w:val="22"/>
              </w:rPr>
            </m:ctrlPr>
          </m:sSubPr>
          <m:e>
            <m:r>
              <w:rPr>
                <w:rFonts w:ascii="Cambria Math" w:hAnsi="Cambria Math"/>
                <w:sz w:val="22"/>
                <w:szCs w:val="22"/>
              </w:rPr>
              <m:t>portcont</m:t>
            </m:r>
          </m:e>
          <m:sub>
            <m:r>
              <w:rPr>
                <w:rFonts w:ascii="Cambria Math" w:hAnsi="Cambria Math"/>
                <w:sz w:val="22"/>
                <w:szCs w:val="22"/>
              </w:rPr>
              <m:t>ijt</m:t>
            </m:r>
            <m:r>
              <w:rPr>
                <w:rFonts w:ascii="Cambria Math"/>
                <w:sz w:val="22"/>
                <w:szCs w:val="22"/>
              </w:rPr>
              <m:t xml:space="preserve"> </m:t>
            </m:r>
          </m:sub>
        </m:sSub>
        <m:r>
          <w:rPr>
            <w:rFonts w:ascii="Cambria Math"/>
            <w:sz w:val="22"/>
            <w:szCs w:val="22"/>
          </w:rPr>
          <m:t>=</m:t>
        </m:r>
        <m:d>
          <m:dPr>
            <m:begChr m:val="{"/>
            <m:endChr m:val="}"/>
            <m:ctrlPr>
              <w:rPr>
                <w:rFonts w:ascii="Cambria Math" w:hAnsi="Cambria Math"/>
                <w:i/>
                <w:sz w:val="22"/>
                <w:szCs w:val="22"/>
              </w:rPr>
            </m:ctrlPr>
          </m:dPr>
          <m:e>
            <m:m>
              <m:mPr>
                <m:mcs>
                  <m:mc>
                    <m:mcPr>
                      <m:count m:val="1"/>
                      <m:mcJc m:val="center"/>
                    </m:mcPr>
                  </m:mc>
                </m:mcs>
                <m:ctrlPr>
                  <w:rPr>
                    <w:rFonts w:ascii="Cambria Math" w:hAnsi="Cambria Math"/>
                    <w:i/>
                    <w:sz w:val="22"/>
                    <w:szCs w:val="22"/>
                  </w:rPr>
                </m:ctrlPr>
              </m:mPr>
              <m:mr>
                <m:e>
                  <m:r>
                    <w:rPr>
                      <w:rFonts w:ascii="Cambria Math"/>
                      <w:sz w:val="22"/>
                      <w:szCs w:val="22"/>
                    </w:rPr>
                    <m:t xml:space="preserve">1  </m:t>
                  </m:r>
                  <m:r>
                    <w:rPr>
                      <w:rFonts w:ascii="Cambria Math" w:hAnsi="Cambria Math"/>
                      <w:sz w:val="22"/>
                      <w:szCs w:val="22"/>
                    </w:rPr>
                    <m:t>if</m:t>
                  </m:r>
                  <m:r>
                    <w:rPr>
                      <w:rFonts w:ascii="Cambria Math"/>
                      <w:sz w:val="22"/>
                      <w:szCs w:val="22"/>
                    </w:rPr>
                    <m:t xml:space="preserve"> </m:t>
                  </m:r>
                  <m:r>
                    <w:rPr>
                      <w:rFonts w:ascii="Cambria Math" w:hAnsi="Cambria Math"/>
                      <w:sz w:val="22"/>
                      <w:szCs w:val="22"/>
                    </w:rPr>
                    <m:t>i</m:t>
                  </m:r>
                  <m:r>
                    <w:rPr>
                      <w:rFonts w:ascii="Cambria Math"/>
                      <w:sz w:val="22"/>
                      <w:szCs w:val="22"/>
                    </w:rPr>
                    <m:t xml:space="preserve"> </m:t>
                  </m:r>
                  <m:r>
                    <w:rPr>
                      <w:rFonts w:ascii="Cambria Math" w:hAnsi="Cambria Math"/>
                      <w:sz w:val="22"/>
                      <w:szCs w:val="22"/>
                    </w:rPr>
                    <m:t>and</m:t>
                  </m:r>
                  <m:r>
                    <w:rPr>
                      <w:rFonts w:ascii="Cambria Math"/>
                      <w:sz w:val="22"/>
                      <w:szCs w:val="22"/>
                    </w:rPr>
                    <m:t xml:space="preserve"> </m:t>
                  </m:r>
                  <m:r>
                    <w:rPr>
                      <w:rFonts w:ascii="Cambria Math" w:hAnsi="Cambria Math"/>
                      <w:sz w:val="22"/>
                      <w:szCs w:val="22"/>
                    </w:rPr>
                    <m:t>j</m:t>
                  </m:r>
                  <m:r>
                    <w:rPr>
                      <w:rFonts w:ascii="Cambria Math"/>
                      <w:sz w:val="22"/>
                      <w:szCs w:val="22"/>
                    </w:rPr>
                    <m:t xml:space="preserve"> </m:t>
                  </m:r>
                  <m:r>
                    <w:rPr>
                      <w:rFonts w:hAnsi="Cambria Math"/>
                      <w:sz w:val="22"/>
                      <w:szCs w:val="22"/>
                    </w:rPr>
                    <m:t>h</m:t>
                  </m:r>
                  <m:r>
                    <w:rPr>
                      <w:rFonts w:ascii="Cambria Math" w:hAnsi="Cambria Math"/>
                      <w:sz w:val="22"/>
                      <w:szCs w:val="22"/>
                    </w:rPr>
                    <m:t>ave</m:t>
                  </m:r>
                  <m:r>
                    <w:rPr>
                      <w:rFonts w:ascii="Cambria Math"/>
                      <w:sz w:val="22"/>
                      <w:szCs w:val="22"/>
                    </w:rPr>
                    <m:t xml:space="preserve"> </m:t>
                  </m:r>
                  <m:r>
                    <w:rPr>
                      <w:rFonts w:ascii="Cambria Math" w:hAnsi="Cambria Math"/>
                      <w:sz w:val="22"/>
                      <w:szCs w:val="22"/>
                    </w:rPr>
                    <m:t>bot</m:t>
                  </m:r>
                  <m:r>
                    <w:rPr>
                      <w:rFonts w:hAnsi="Cambria Math"/>
                      <w:sz w:val="22"/>
                      <w:szCs w:val="22"/>
                    </w:rPr>
                    <m:t>h</m:t>
                  </m:r>
                  <m:r>
                    <w:rPr>
                      <w:rFonts w:ascii="Cambria Math"/>
                      <w:sz w:val="22"/>
                      <w:szCs w:val="22"/>
                    </w:rPr>
                    <m:t xml:space="preserve"> </m:t>
                  </m:r>
                  <m:r>
                    <w:rPr>
                      <w:rFonts w:ascii="Cambria Math" w:hAnsi="Cambria Math"/>
                      <w:sz w:val="22"/>
                      <w:szCs w:val="22"/>
                    </w:rPr>
                    <m:t>containerized</m:t>
                  </m:r>
                  <m:r>
                    <w:rPr>
                      <w:rFonts w:ascii="Cambria Math"/>
                      <w:sz w:val="22"/>
                      <w:szCs w:val="22"/>
                    </w:rPr>
                    <m:t xml:space="preserve"> sea</m:t>
                  </m:r>
                  <m:r>
                    <w:rPr>
                      <w:rFonts w:ascii="Cambria Math" w:hAnsi="Cambria Math"/>
                      <w:sz w:val="22"/>
                      <w:szCs w:val="22"/>
                    </w:rPr>
                    <m:t>ports</m:t>
                  </m:r>
                  <m:r>
                    <w:rPr>
                      <w:rFonts w:ascii="Cambria Math"/>
                      <w:sz w:val="22"/>
                      <w:szCs w:val="22"/>
                    </w:rPr>
                    <m:t xml:space="preserve"> in year </m:t>
                  </m:r>
                  <m:r>
                    <w:rPr>
                      <w:rFonts w:ascii="Cambria Math" w:hAnsi="Cambria Math"/>
                      <w:sz w:val="22"/>
                      <w:szCs w:val="22"/>
                    </w:rPr>
                    <m:t>t</m:t>
                  </m:r>
                </m:e>
              </m:mr>
              <m:mr>
                <m:e>
                  <m:r>
                    <w:rPr>
                      <w:rFonts w:ascii="Cambria Math"/>
                      <w:sz w:val="22"/>
                      <w:szCs w:val="22"/>
                    </w:rPr>
                    <m:t xml:space="preserve">  0                      </m:t>
                  </m:r>
                  <m:r>
                    <w:rPr>
                      <w:rFonts w:ascii="Cambria Math" w:hAnsi="Cambria Math"/>
                      <w:sz w:val="22"/>
                      <w:szCs w:val="22"/>
                    </w:rPr>
                    <m:t>ot</m:t>
                  </m:r>
                  <m:r>
                    <w:rPr>
                      <w:rFonts w:hAnsi="Cambria Math"/>
                      <w:sz w:val="22"/>
                      <w:szCs w:val="22"/>
                    </w:rPr>
                    <m:t>h</m:t>
                  </m:r>
                  <m:r>
                    <w:rPr>
                      <w:rFonts w:ascii="Cambria Math" w:hAnsi="Cambria Math"/>
                      <w:sz w:val="22"/>
                      <w:szCs w:val="22"/>
                    </w:rPr>
                    <m:t xml:space="preserve">erwise         </m:t>
                  </m:r>
                  <m:r>
                    <w:rPr>
                      <w:rFonts w:ascii="Cambria Math"/>
                      <w:sz w:val="22"/>
                      <w:szCs w:val="22"/>
                    </w:rPr>
                    <m:t xml:space="preserve">                                                    </m:t>
                  </m:r>
                </m:e>
              </m:mr>
            </m:m>
          </m:e>
        </m:d>
      </m:oMath>
      <w:r w:rsidR="002A5EC3">
        <w:tab/>
      </w:r>
      <w:r w:rsidR="002A5EC3">
        <w:tab/>
      </w:r>
      <w:r w:rsidR="002A5EC3" w:rsidRPr="002C0B02">
        <w:rPr>
          <w:sz w:val="22"/>
          <w:szCs w:val="22"/>
        </w:rPr>
        <w:t>(</w:t>
      </w:r>
      <w:r w:rsidR="002A5EC3">
        <w:rPr>
          <w:sz w:val="22"/>
          <w:szCs w:val="22"/>
        </w:rPr>
        <w:t>4</w:t>
      </w:r>
      <w:r w:rsidR="002A5EC3" w:rsidRPr="002C0B02">
        <w:rPr>
          <w:sz w:val="22"/>
          <w:szCs w:val="22"/>
        </w:rPr>
        <w:t>)</w:t>
      </w:r>
    </w:p>
    <w:p w14:paraId="30EDB1EA" w14:textId="77777777" w:rsidR="0063200F" w:rsidRDefault="0063200F" w:rsidP="00765286">
      <w:pPr>
        <w:spacing w:line="360" w:lineRule="auto"/>
        <w:jc w:val="both"/>
      </w:pPr>
    </w:p>
    <w:p w14:paraId="29CF1C20" w14:textId="77777777" w:rsidR="00134092" w:rsidRDefault="009872DD" w:rsidP="009872DD">
      <w:pPr>
        <w:spacing w:line="360" w:lineRule="auto"/>
        <w:jc w:val="both"/>
        <w:rPr>
          <w:i/>
        </w:rPr>
      </w:pPr>
      <w:r>
        <w:rPr>
          <w:i/>
        </w:rPr>
        <w:t>3.</w:t>
      </w:r>
      <w:r w:rsidR="00585D06">
        <w:rPr>
          <w:i/>
        </w:rPr>
        <w:t>2</w:t>
      </w:r>
      <w:r w:rsidRPr="000E5B4A">
        <w:rPr>
          <w:i/>
        </w:rPr>
        <w:t xml:space="preserve"> </w:t>
      </w:r>
      <w:r>
        <w:rPr>
          <w:i/>
        </w:rPr>
        <w:t>Research design and empirical specification</w:t>
      </w:r>
    </w:p>
    <w:p w14:paraId="0976C15C" w14:textId="77777777" w:rsidR="0033759B" w:rsidRDefault="00134092" w:rsidP="00A96DAB">
      <w:pPr>
        <w:spacing w:line="360" w:lineRule="auto"/>
        <w:ind w:firstLine="720"/>
        <w:jc w:val="both"/>
      </w:pPr>
      <w:r>
        <w:t xml:space="preserve">The time </w:t>
      </w:r>
      <w:r w:rsidR="00585D06">
        <w:t>frame</w:t>
      </w:r>
      <w:r>
        <w:t xml:space="preserve"> of our analysis is </w:t>
      </w:r>
      <w:r w:rsidR="00585D06">
        <w:t xml:space="preserve">dictated by </w:t>
      </w:r>
      <w:r>
        <w:t xml:space="preserve">the </w:t>
      </w:r>
      <w:r w:rsidR="00585D06">
        <w:t xml:space="preserve">availability of bilateral trade data at the product level and the </w:t>
      </w:r>
      <w:r w:rsidR="00D26A3A">
        <w:t>timeline of container adoption in international trade</w:t>
      </w:r>
      <w:r w:rsidR="00585D06">
        <w:t xml:space="preserve">. </w:t>
      </w:r>
      <w:r w:rsidR="00D26A3A">
        <w:t xml:space="preserve"> </w:t>
      </w:r>
      <w:r w:rsidR="00585D06">
        <w:t xml:space="preserve">Fortunately, the world trade data set compiled by Feenstra et al. (2005) goes back to 1962 and covers bilateral trade flows from 1962-2000 at the 4-digit </w:t>
      </w:r>
      <w:r w:rsidR="00E87B34">
        <w:t>product</w:t>
      </w:r>
      <w:r w:rsidR="00585D06">
        <w:t xml:space="preserve"> level.</w:t>
      </w:r>
      <w:r w:rsidR="00585D06">
        <w:rPr>
          <w:rStyle w:val="FootnoteReference"/>
        </w:rPr>
        <w:footnoteReference w:id="23"/>
      </w:r>
      <w:r w:rsidR="00585D06">
        <w:t xml:space="preserve"> Since t</w:t>
      </w:r>
      <w:r w:rsidR="00585D06" w:rsidRPr="00371296">
        <w:t>he adoption of containeri</w:t>
      </w:r>
      <w:r w:rsidR="00585D06">
        <w:t>z</w:t>
      </w:r>
      <w:r w:rsidR="00585D06" w:rsidRPr="00371296">
        <w:t xml:space="preserve">ation </w:t>
      </w:r>
      <w:r w:rsidR="00585D06">
        <w:t xml:space="preserve">in international trade </w:t>
      </w:r>
      <w:r w:rsidR="00585D06" w:rsidRPr="00371296">
        <w:t>started in 1966</w:t>
      </w:r>
      <w:r w:rsidR="00585D06">
        <w:t xml:space="preserve"> and </w:t>
      </w:r>
      <w:r w:rsidR="000D63B7">
        <w:t xml:space="preserve">ended in </w:t>
      </w:r>
      <w:r w:rsidR="00585D06">
        <w:t>1983</w:t>
      </w:r>
      <w:r w:rsidR="000D63B7">
        <w:t>, we chose 1962-1990 as our sample period</w:t>
      </w:r>
      <w:r w:rsidR="00603FE7">
        <w:t xml:space="preserve">, which includes 4 years prior to the first adoption and 7 years past the last adoption year. </w:t>
      </w:r>
      <w:r w:rsidR="00A84634">
        <w:t xml:space="preserve">We chose to exclude the </w:t>
      </w:r>
      <w:r w:rsidR="00A84634">
        <w:lastRenderedPageBreak/>
        <w:t xml:space="preserve">1990s because of </w:t>
      </w:r>
      <w:r w:rsidR="002471B4">
        <w:t xml:space="preserve">both the redrawing of </w:t>
      </w:r>
      <w:r w:rsidR="00603FE7">
        <w:t>the political map after the end of the Cold War and the reduction in the costs of air transport which started to kick</w:t>
      </w:r>
      <w:r w:rsidR="001D0D18">
        <w:t xml:space="preserve"> in</w:t>
      </w:r>
      <w:r w:rsidR="00603FE7">
        <w:t xml:space="preserve"> in the </w:t>
      </w:r>
      <w:r w:rsidR="0004756E">
        <w:t xml:space="preserve">early </w:t>
      </w:r>
      <w:r w:rsidR="00603FE7">
        <w:t>1990s.</w:t>
      </w:r>
      <w:r w:rsidR="0004756E">
        <w:t xml:space="preserve"> </w:t>
      </w:r>
      <w:r w:rsidR="00A96DAB">
        <w:t xml:space="preserve"> Although</w:t>
      </w:r>
      <w:r w:rsidR="00E54621">
        <w:t xml:space="preserve"> there is limited data on </w:t>
      </w:r>
      <w:r w:rsidR="00A96DAB">
        <w:t>changes in the mode of transport</w:t>
      </w:r>
      <w:r w:rsidR="00E54621">
        <w:t xml:space="preserve"> in international trade</w:t>
      </w:r>
      <w:r w:rsidR="004004BE">
        <w:t xml:space="preserve">, </w:t>
      </w:r>
      <w:r w:rsidR="00A96DAB">
        <w:t xml:space="preserve">a reading of the transportation industry literature suggests </w:t>
      </w:r>
      <w:r w:rsidR="004004BE">
        <w:t>that during our chosen sample period containerization was the main technological chang</w:t>
      </w:r>
      <w:r w:rsidR="007C6313">
        <w:t>e</w:t>
      </w:r>
      <w:r w:rsidR="004004BE">
        <w:t xml:space="preserve"> affecting the three major modes of transport (sea, rail and road) in international trade.</w:t>
      </w:r>
    </w:p>
    <w:p w14:paraId="2BE48FB5" w14:textId="77777777" w:rsidR="00A91E23" w:rsidRPr="008977BE" w:rsidRDefault="008048E3" w:rsidP="00E87B34">
      <w:pPr>
        <w:spacing w:line="360" w:lineRule="auto"/>
        <w:ind w:firstLine="720"/>
        <w:jc w:val="both"/>
      </w:pPr>
      <w:r>
        <w:t xml:space="preserve">Our next consideration is the </w:t>
      </w:r>
      <w:r w:rsidR="00025749">
        <w:t xml:space="preserve">nature of </w:t>
      </w:r>
      <w:r w:rsidR="00A96DAB">
        <w:t xml:space="preserve">our </w:t>
      </w:r>
      <w:r>
        <w:t>outcome variable.</w:t>
      </w:r>
      <w:r w:rsidR="0033759B">
        <w:t xml:space="preserve"> </w:t>
      </w:r>
      <w:r w:rsidR="00515857">
        <w:t xml:space="preserve">Given that containerization </w:t>
      </w:r>
      <w:r w:rsidR="00025749">
        <w:t>might have different effects on dif</w:t>
      </w:r>
      <w:r w:rsidR="00E87B34">
        <w:t xml:space="preserve">ferent product lines, we </w:t>
      </w:r>
      <w:r w:rsidR="00025749">
        <w:t>examin</w:t>
      </w:r>
      <w:r w:rsidR="00E87B34">
        <w:t>e</w:t>
      </w:r>
      <w:r w:rsidR="00025749">
        <w:t xml:space="preserve"> variations in bilateral trade flows at the </w:t>
      </w:r>
      <w:r w:rsidR="00E87B34">
        <w:t xml:space="preserve">4-digit product level and control for product-specific changes by time-varying product fixed effects.  </w:t>
      </w:r>
      <w:r w:rsidR="00025749">
        <w:t xml:space="preserve">An advantage of this approach </w:t>
      </w:r>
      <w:r w:rsidR="00EE5EE4">
        <w:t>is that it a</w:t>
      </w:r>
      <w:r w:rsidR="00E87B34">
        <w:t xml:space="preserve">llows us to estimate the effects of containerization on </w:t>
      </w:r>
      <w:r w:rsidR="00EE5EE4">
        <w:t>containerizable products</w:t>
      </w:r>
      <w:r w:rsidR="00E87B34">
        <w:t xml:space="preserve"> relative to its effects on all products. </w:t>
      </w:r>
      <w:r w:rsidR="00EE5EE4">
        <w:t>For that purpose</w:t>
      </w:r>
      <w:r w:rsidR="00683890">
        <w:t>, we take</w:t>
      </w:r>
      <w:r w:rsidR="00EE5EE4">
        <w:t xml:space="preserve"> advantage of </w:t>
      </w:r>
      <w:r w:rsidR="00A96DAB">
        <w:t>the</w:t>
      </w:r>
      <w:r w:rsidR="00683890">
        <w:t xml:space="preserve"> 1968 study by the German </w:t>
      </w:r>
      <w:r w:rsidR="00A96DAB">
        <w:t>Engineer’s society, reported in</w:t>
      </w:r>
      <w:r w:rsidR="00683890">
        <w:t xml:space="preserve"> </w:t>
      </w:r>
      <w:r w:rsidR="00683890" w:rsidRPr="007E675F">
        <w:rPr>
          <w:i/>
        </w:rPr>
        <w:t>Containerisation International</w:t>
      </w:r>
      <w:r w:rsidR="00683890">
        <w:t xml:space="preserve"> </w:t>
      </w:r>
      <w:r w:rsidR="00683890" w:rsidRPr="00683890">
        <w:rPr>
          <w:i/>
        </w:rPr>
        <w:t>Yearbook</w:t>
      </w:r>
      <w:r w:rsidR="00683890">
        <w:t xml:space="preserve"> (1971)</w:t>
      </w:r>
      <w:r w:rsidR="00683890">
        <w:rPr>
          <w:i/>
        </w:rPr>
        <w:t xml:space="preserve">, </w:t>
      </w:r>
      <w:r w:rsidR="00683890">
        <w:t>which</w:t>
      </w:r>
      <w:r w:rsidR="00A96DAB">
        <w:t xml:space="preserve"> classifies 4-digit </w:t>
      </w:r>
      <w:r w:rsidR="00422337">
        <w:t xml:space="preserve">product lines </w:t>
      </w:r>
      <w:r w:rsidR="00683890">
        <w:t>whether they are suitable for container shipments as of 1968.</w:t>
      </w:r>
      <w:r w:rsidR="001C2500">
        <w:rPr>
          <w:rStyle w:val="FootnoteReference"/>
        </w:rPr>
        <w:footnoteReference w:id="24"/>
      </w:r>
      <w:r w:rsidR="004F7A78">
        <w:t xml:space="preserve"> So our </w:t>
      </w:r>
      <w:r w:rsidR="00515857">
        <w:t>dependent variable pertains to the bilateral trade flow</w:t>
      </w:r>
      <w:r w:rsidR="00863063">
        <w:t>s</w:t>
      </w:r>
      <w:r w:rsidR="00515857">
        <w:t xml:space="preserve"> </w:t>
      </w:r>
      <w:r w:rsidR="00863063">
        <w:t>between</w:t>
      </w:r>
      <w:r w:rsidR="00515857">
        <w:t xml:space="preserve"> countr</w:t>
      </w:r>
      <w:r w:rsidR="00863063">
        <w:t>ies</w:t>
      </w:r>
      <w:r w:rsidR="00515857">
        <w:t xml:space="preserve"> i </w:t>
      </w:r>
      <w:r w:rsidR="00863063">
        <w:t>and</w:t>
      </w:r>
      <w:r w:rsidR="00515857">
        <w:t xml:space="preserve"> country j in product group k at time t, </w:t>
      </w:r>
      <m:oMath>
        <m:sSub>
          <m:sSubPr>
            <m:ctrlPr>
              <w:rPr>
                <w:rFonts w:ascii="Cambria Math" w:hAnsi="Cambria Math"/>
                <w:i/>
              </w:rPr>
            </m:ctrlPr>
          </m:sSubPr>
          <m:e>
            <m:r>
              <w:rPr>
                <w:rFonts w:ascii="Cambria Math" w:hAnsi="Cambria Math"/>
              </w:rPr>
              <m:t>x</m:t>
            </m:r>
          </m:e>
          <m:sub>
            <m:r>
              <w:rPr>
                <w:rFonts w:ascii="Cambria Math" w:hAnsi="Cambria Math"/>
              </w:rPr>
              <m:t>ijkt</m:t>
            </m:r>
          </m:sub>
        </m:sSub>
      </m:oMath>
      <w:r w:rsidR="00515857">
        <w:t>.</w:t>
      </w:r>
      <w:r w:rsidR="00E01541">
        <w:t xml:space="preserve"> </w:t>
      </w:r>
      <w:r w:rsidR="00A91E23">
        <w:t xml:space="preserve">Our empirical </w:t>
      </w:r>
      <w:r w:rsidR="00A96DAB">
        <w:t xml:space="preserve">equation to be estimated is then </w:t>
      </w:r>
      <w:r w:rsidR="00A91E23">
        <w:t xml:space="preserve">given by: </w:t>
      </w:r>
    </w:p>
    <w:p w14:paraId="7A69EFD0" w14:textId="77777777" w:rsidR="00A91E23" w:rsidRDefault="00A91E23" w:rsidP="00A91E23">
      <w:pPr>
        <w:spacing w:line="360" w:lineRule="auto"/>
        <w:jc w:val="both"/>
      </w:pPr>
    </w:p>
    <w:p w14:paraId="4D21EF54" w14:textId="77777777" w:rsidR="009B0D79" w:rsidRDefault="001521FE" w:rsidP="008776FA">
      <w:pPr>
        <w:spacing w:line="360" w:lineRule="auto"/>
        <w:jc w:val="both"/>
      </w:pPr>
      <m:oMath>
        <m:func>
          <m:funcPr>
            <m:ctrlPr>
              <w:rPr>
                <w:rFonts w:ascii="Cambria Math" w:hAnsi="Cambria Math"/>
                <w:i/>
              </w:rPr>
            </m:ctrlPr>
          </m:funcPr>
          <m:fName>
            <m:r>
              <m:rPr>
                <m:sty m:val="p"/>
              </m:rPr>
              <w:rPr>
                <w:rFonts w:ascii="Cambria Math" w:hAnsi="Cambria Math"/>
              </w:rPr>
              <m:t>ln</m:t>
            </m:r>
          </m:fName>
          <m:e>
            <m:sSub>
              <m:sSubPr>
                <m:ctrlPr>
                  <w:rPr>
                    <w:rFonts w:ascii="Cambria Math" w:hAnsi="Cambria Math"/>
                    <w:i/>
                  </w:rPr>
                </m:ctrlPr>
              </m:sSubPr>
              <m:e>
                <m:r>
                  <w:rPr>
                    <w:rFonts w:ascii="Cambria Math" w:hAnsi="Cambria Math"/>
                  </w:rPr>
                  <m:t>x</m:t>
                </m:r>
              </m:e>
              <m:sub>
                <m:r>
                  <w:rPr>
                    <w:rFonts w:ascii="Cambria Math" w:hAnsi="Cambria Math"/>
                  </w:rPr>
                  <m:t>ijkt</m:t>
                </m:r>
              </m:sub>
            </m:sSub>
          </m:e>
        </m:func>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1</m:t>
            </m:r>
          </m:sub>
        </m:sSub>
        <m:sSub>
          <m:sSubPr>
            <m:ctrlPr>
              <w:rPr>
                <w:rFonts w:ascii="Cambria Math" w:hAnsi="Cambria Math"/>
                <w:i/>
              </w:rPr>
            </m:ctrlPr>
          </m:sSubPr>
          <m:e>
            <m:r>
              <w:rPr>
                <w:rFonts w:ascii="Cambria Math" w:hAnsi="Cambria Math"/>
              </w:rPr>
              <m:t>Cont</m:t>
            </m:r>
          </m:e>
          <m:sub>
            <m:r>
              <w:rPr>
                <w:rFonts w:ascii="Cambria Math" w:hAnsi="Cambria Math"/>
              </w:rPr>
              <m:t>ijt</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2</m:t>
            </m:r>
          </m:sub>
        </m:sSub>
        <m:acc>
          <m:accPr>
            <m:chr m:val="⃑"/>
            <m:ctrlPr>
              <w:rPr>
                <w:rFonts w:ascii="Cambria Math" w:hAnsi="Cambria Math"/>
                <w:i/>
              </w:rPr>
            </m:ctrlPr>
          </m:accPr>
          <m:e>
            <m:sSub>
              <m:sSubPr>
                <m:ctrlPr>
                  <w:rPr>
                    <w:rFonts w:ascii="Cambria Math" w:hAnsi="Cambria Math"/>
                    <w:i/>
                  </w:rPr>
                </m:ctrlPr>
              </m:sSubPr>
              <m:e>
                <m:r>
                  <w:rPr>
                    <w:rFonts w:ascii="Cambria Math" w:hAnsi="Cambria Math"/>
                  </w:rPr>
                  <m:t>Policy</m:t>
                </m:r>
              </m:e>
              <m:sub>
                <m:r>
                  <w:rPr>
                    <w:rFonts w:ascii="Cambria Math" w:hAnsi="Cambria Math"/>
                  </w:rPr>
                  <m:t>ijt</m:t>
                </m:r>
              </m:sub>
            </m:sSub>
          </m:e>
        </m:acc>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3</m:t>
            </m:r>
          </m:sub>
        </m:sSub>
        <m:acc>
          <m:accPr>
            <m:chr m:val="⃑"/>
            <m:ctrlPr>
              <w:rPr>
                <w:rFonts w:ascii="Cambria Math" w:hAnsi="Cambria Math"/>
                <w:i/>
              </w:rPr>
            </m:ctrlPr>
          </m:accPr>
          <m:e>
            <m:sSub>
              <m:sSubPr>
                <m:ctrlPr>
                  <w:rPr>
                    <w:rFonts w:ascii="Cambria Math" w:hAnsi="Cambria Math"/>
                    <w:i/>
                  </w:rPr>
                </m:ctrlPr>
              </m:sSubPr>
              <m:e>
                <m:r>
                  <w:rPr>
                    <w:rFonts w:ascii="Cambria Math" w:hAnsi="Cambria Math"/>
                  </w:rPr>
                  <m:t>D</m:t>
                </m:r>
              </m:e>
              <m:sub>
                <m:r>
                  <w:rPr>
                    <w:rFonts w:ascii="Cambria Math" w:hAnsi="Cambria Math"/>
                  </w:rPr>
                  <m:t>ijkt</m:t>
                </m:r>
              </m:sub>
            </m:sSub>
          </m:e>
        </m:acc>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ijkt</m:t>
            </m:r>
          </m:sub>
        </m:sSub>
      </m:oMath>
      <w:r w:rsidR="0092308D">
        <w:t>,</w:t>
      </w:r>
      <w:r w:rsidR="0092308D">
        <w:tab/>
      </w:r>
      <w:r w:rsidR="0092308D">
        <w:tab/>
      </w:r>
      <w:r w:rsidR="0092308D">
        <w:tab/>
        <w:t>(5</w:t>
      </w:r>
      <w:r w:rsidR="00A91E23">
        <w:t>)</w:t>
      </w:r>
    </w:p>
    <w:p w14:paraId="29E75198" w14:textId="77777777" w:rsidR="006620FB" w:rsidRDefault="006620FB" w:rsidP="006620FB">
      <w:pPr>
        <w:spacing w:line="360" w:lineRule="auto"/>
        <w:ind w:firstLine="720"/>
        <w:jc w:val="both"/>
      </w:pPr>
    </w:p>
    <w:p w14:paraId="2A31F329" w14:textId="77777777" w:rsidR="00A91E23" w:rsidRDefault="00A91E23" w:rsidP="00B56A1A">
      <w:pPr>
        <w:spacing w:line="360" w:lineRule="auto"/>
        <w:jc w:val="both"/>
      </w:pPr>
      <w:r>
        <w:t xml:space="preserve">where </w:t>
      </w:r>
      <w:r w:rsidRPr="00863063">
        <w:rPr>
          <w:i/>
        </w:rPr>
        <w:t>Cont</w:t>
      </w:r>
      <w:r w:rsidRPr="00863063">
        <w:rPr>
          <w:i/>
          <w:vertAlign w:val="subscript"/>
        </w:rPr>
        <w:t>ijt</w:t>
      </w:r>
      <w:r>
        <w:t xml:space="preserve"> pertains to one of the container variables </w:t>
      </w:r>
      <w:r w:rsidR="00E01541">
        <w:t>defined in (3) and (4</w:t>
      </w:r>
      <w:r>
        <w:t>),</w:t>
      </w:r>
      <w:r w:rsidR="00A317D8">
        <w:t xml:space="preserve">  </w:t>
      </w:r>
      <m:oMath>
        <m:r>
          <w:rPr>
            <w:rFonts w:ascii="Cambria Math" w:hAnsi="Cambria Math"/>
          </w:rPr>
          <m:t xml:space="preserve"> </m:t>
        </m:r>
        <m:acc>
          <m:accPr>
            <m:chr m:val="⃑"/>
            <m:ctrlPr>
              <w:rPr>
                <w:rFonts w:ascii="Cambria Math" w:hAnsi="Cambria Math"/>
                <w:b/>
                <w:i/>
              </w:rPr>
            </m:ctrlPr>
          </m:accPr>
          <m:e>
            <m:sSub>
              <m:sSubPr>
                <m:ctrlPr>
                  <w:rPr>
                    <w:rFonts w:ascii="Cambria Math" w:hAnsi="Cambria Math"/>
                    <w:i/>
                  </w:rPr>
                </m:ctrlPr>
              </m:sSubPr>
              <m:e>
                <m:r>
                  <w:rPr>
                    <w:rFonts w:ascii="Cambria Math" w:hAnsi="Cambria Math"/>
                  </w:rPr>
                  <m:t>Policy</m:t>
                </m:r>
              </m:e>
              <m:sub>
                <m:r>
                  <w:rPr>
                    <w:rFonts w:ascii="Cambria Math" w:hAnsi="Cambria Math"/>
                  </w:rPr>
                  <m:t>ijt</m:t>
                </m:r>
              </m:sub>
            </m:sSub>
          </m:e>
        </m:acc>
      </m:oMath>
      <w:r w:rsidR="00A317D8">
        <w:t xml:space="preserve">  </w:t>
      </w:r>
      <w:r>
        <w:t xml:space="preserve">pertains to </w:t>
      </w:r>
      <w:r w:rsidR="00A317D8">
        <w:t xml:space="preserve">a vector of time-varying </w:t>
      </w:r>
      <w:r>
        <w:t xml:space="preserve">bilateral policy variables,  </w:t>
      </w:r>
      <m:oMath>
        <m:r>
          <w:rPr>
            <w:rFonts w:ascii="Cambria Math" w:hAnsi="Cambria Math"/>
          </w:rPr>
          <m:t xml:space="preserve"> </m:t>
        </m:r>
        <m:acc>
          <m:accPr>
            <m:chr m:val="⃑"/>
            <m:ctrlPr>
              <w:rPr>
                <w:rFonts w:ascii="Cambria Math" w:hAnsi="Cambria Math"/>
                <w:i/>
              </w:rPr>
            </m:ctrlPr>
          </m:accPr>
          <m:e>
            <m:sSub>
              <m:sSubPr>
                <m:ctrlPr>
                  <w:rPr>
                    <w:rFonts w:ascii="Cambria Math" w:hAnsi="Cambria Math"/>
                    <w:i/>
                  </w:rPr>
                </m:ctrlPr>
              </m:sSubPr>
              <m:e>
                <m:r>
                  <w:rPr>
                    <w:rFonts w:ascii="Cambria Math" w:hAnsi="Cambria Math"/>
                  </w:rPr>
                  <m:t>D</m:t>
                </m:r>
              </m:e>
              <m:sub>
                <m:r>
                  <w:rPr>
                    <w:rFonts w:ascii="Cambria Math" w:hAnsi="Cambria Math"/>
                  </w:rPr>
                  <m:t>ijkt</m:t>
                </m:r>
              </m:sub>
            </m:sSub>
          </m:e>
        </m:acc>
      </m:oMath>
      <w:r>
        <w:t xml:space="preserve">  inclu</w:t>
      </w:r>
      <w:r w:rsidR="00E01541">
        <w:t>des a (large) vector of country-</w:t>
      </w:r>
      <w:r>
        <w:t xml:space="preserve"> time and product</w:t>
      </w:r>
      <w:r w:rsidR="00E01541">
        <w:t>-time</w:t>
      </w:r>
      <w:r>
        <w:t xml:space="preserve"> specific fixed effects and  </w:t>
      </w:r>
      <m:oMath>
        <m:sSub>
          <m:sSubPr>
            <m:ctrlPr>
              <w:rPr>
                <w:rFonts w:ascii="Cambria Math" w:hAnsi="Cambria Math"/>
                <w:i/>
              </w:rPr>
            </m:ctrlPr>
          </m:sSubPr>
          <m:e>
            <m:r>
              <w:rPr>
                <w:rFonts w:ascii="Cambria Math" w:hAnsi="Cambria Math"/>
              </w:rPr>
              <m:t>u</m:t>
            </m:r>
          </m:e>
          <m:sub>
            <m:r>
              <w:rPr>
                <w:rFonts w:ascii="Cambria Math" w:hAnsi="Cambria Math"/>
              </w:rPr>
              <m:t>ijkt</m:t>
            </m:r>
          </m:sub>
        </m:sSub>
      </m:oMath>
      <w:r>
        <w:t xml:space="preserve"> denotes the error term.</w:t>
      </w:r>
    </w:p>
    <w:p w14:paraId="594A358C" w14:textId="77777777" w:rsidR="00CC3DE3" w:rsidRDefault="00E01541" w:rsidP="00CC3DE3">
      <w:pPr>
        <w:spacing w:line="360" w:lineRule="auto"/>
        <w:ind w:firstLine="720"/>
        <w:jc w:val="both"/>
      </w:pPr>
      <w:r>
        <w:t xml:space="preserve">An attractive feature of our panel specification is that it allows us to examine the dynamic aspects of containerization over a time period 1962-1990 characterized, as argued above, by little other technological changes affecting international trade. </w:t>
      </w:r>
      <w:r w:rsidR="00624AC9">
        <w:t xml:space="preserve"> </w:t>
      </w:r>
      <w:r w:rsidR="00A91E23">
        <w:t>Following the advice of the panel literature (</w:t>
      </w:r>
      <w:r w:rsidR="00B56A1A">
        <w:t>Wooldridge</w:t>
      </w:r>
      <w:r w:rsidR="00A91E23">
        <w:t>, 200</w:t>
      </w:r>
      <w:r w:rsidR="00863063">
        <w:t>2</w:t>
      </w:r>
      <w:r w:rsidR="00A91E23">
        <w:t xml:space="preserve">) we examine changes in trade flows at 5 year intervals. </w:t>
      </w:r>
      <w:r w:rsidR="00CC3DE3">
        <w:t xml:space="preserve"> </w:t>
      </w:r>
      <w:r w:rsidR="00A91E23">
        <w:t xml:space="preserve">In our context, the advantage of focusing on 5 year variations is that it mitigates the effect of differences in the speed of adoption </w:t>
      </w:r>
      <w:r w:rsidR="00422337">
        <w:t>(recall Figure 2</w:t>
      </w:r>
      <w:r w:rsidR="00CC3DE3">
        <w:t xml:space="preserve">) </w:t>
      </w:r>
      <w:r w:rsidR="00624AC9">
        <w:t xml:space="preserve">as well as </w:t>
      </w:r>
      <w:r w:rsidR="00A91E23">
        <w:t xml:space="preserve">allowing time for the build-up of the intermodal transport system. </w:t>
      </w:r>
      <w:r w:rsidR="00624AC9">
        <w:t xml:space="preserve"> We estimate equation (5) on </w:t>
      </w:r>
      <w:r w:rsidR="00CC3DE3">
        <w:t>7 time periods: 1962, 1967, 1972, 1977, 1982, 1987 and 1990.</w:t>
      </w:r>
    </w:p>
    <w:p w14:paraId="0EF52AE8" w14:textId="77777777" w:rsidR="006D636A" w:rsidRDefault="009B0D79" w:rsidP="006D636A">
      <w:pPr>
        <w:spacing w:line="360" w:lineRule="auto"/>
        <w:ind w:firstLine="720"/>
        <w:jc w:val="both"/>
      </w:pPr>
      <w:r>
        <w:lastRenderedPageBreak/>
        <w:t xml:space="preserve">To our knowledge, (5) is the first specification in the literature that identifies a time-varying bilateral technological change </w:t>
      </w:r>
      <w:r w:rsidR="00C353F1">
        <w:t>and aims to estimate its impact on international trade. An advantage of this specification is that allows for a comparison to other time-varying bilateral policy changes</w:t>
      </w:r>
      <w:r w:rsidR="002879D2">
        <w:t xml:space="preserve"> for a country pair </w:t>
      </w:r>
      <w:r w:rsidR="002879D2" w:rsidRPr="002879D2">
        <w:rPr>
          <w:i/>
        </w:rPr>
        <w:t>i</w:t>
      </w:r>
      <w:r w:rsidR="002879D2">
        <w:t xml:space="preserve"> and </w:t>
      </w:r>
      <w:r w:rsidR="002879D2" w:rsidRPr="002879D2">
        <w:rPr>
          <w:i/>
        </w:rPr>
        <w:t>j</w:t>
      </w:r>
      <w:r w:rsidR="00C353F1">
        <w:t xml:space="preserve">, like entrance </w:t>
      </w:r>
      <w:r w:rsidR="002879D2">
        <w:t>in</w:t>
      </w:r>
      <w:r w:rsidR="00C353F1">
        <w:t xml:space="preserve">to a free trade agreement (FTA) or both being a member in the GATT, which have been treated extensively in the literature. </w:t>
      </w:r>
      <w:r w:rsidR="002879D2">
        <w:t xml:space="preserve"> </w:t>
      </w:r>
      <w:r w:rsidR="00C353F1">
        <w:t>Specifically, (5) allows for a horse race between our container technology variable</w:t>
      </w:r>
      <w:r w:rsidR="00A317D8">
        <w:t>s</w:t>
      </w:r>
      <w:r w:rsidR="00C353F1">
        <w:t xml:space="preserve"> and the</w:t>
      </w:r>
      <w:r w:rsidR="00F03FF2">
        <w:t xml:space="preserve">se trade liberalization </w:t>
      </w:r>
      <w:r w:rsidR="00C353F1">
        <w:t xml:space="preserve">variables. </w:t>
      </w:r>
      <w:r w:rsidR="002B1BFF">
        <w:t xml:space="preserve"> A </w:t>
      </w:r>
      <w:r w:rsidR="00DC0CD4">
        <w:t xml:space="preserve">key difference of the </w:t>
      </w:r>
      <w:r w:rsidR="002B1BFF">
        <w:t>container variable is that it reflects a mixture of private and public sector</w:t>
      </w:r>
      <w:r w:rsidR="00DC0CD4">
        <w:t xml:space="preserve"> decision making</w:t>
      </w:r>
      <w:r w:rsidR="005567FC">
        <w:t xml:space="preserve"> and the </w:t>
      </w:r>
      <w:r w:rsidR="00DC0CD4">
        <w:t xml:space="preserve">bilateral containerization </w:t>
      </w:r>
      <w:r w:rsidR="005567FC">
        <w:t>occurrence is arguabl</w:t>
      </w:r>
      <w:r w:rsidR="00DC0CD4">
        <w:t>y</w:t>
      </w:r>
      <w:r w:rsidR="005567FC">
        <w:t xml:space="preserve"> based on </w:t>
      </w:r>
      <w:r w:rsidR="00DC0CD4">
        <w:t>a larger degree of seren</w:t>
      </w:r>
      <w:r w:rsidR="005567FC">
        <w:t>di</w:t>
      </w:r>
      <w:r w:rsidR="00DC0CD4">
        <w:t xml:space="preserve">pity than the </w:t>
      </w:r>
      <w:r w:rsidR="003D6E05">
        <w:t xml:space="preserve">trade </w:t>
      </w:r>
      <w:r w:rsidR="00DC0CD4">
        <w:t>policy variables</w:t>
      </w:r>
      <w:r w:rsidR="000D246A">
        <w:t>.</w:t>
      </w:r>
    </w:p>
    <w:p w14:paraId="6E7BC119" w14:textId="77777777" w:rsidR="000D246A" w:rsidRDefault="000D246A" w:rsidP="007A057B">
      <w:pPr>
        <w:spacing w:line="360" w:lineRule="auto"/>
        <w:ind w:firstLine="720"/>
        <w:jc w:val="both"/>
      </w:pPr>
      <w:r>
        <w:t>An advantage of our panel specification</w:t>
      </w:r>
      <w:r w:rsidR="00C711FE">
        <w:t xml:space="preserve"> is that it allows us to use fixed effects to avoid omitted variable biases associated with multi-lateral resistance terms identified from the </w:t>
      </w:r>
      <w:r w:rsidR="009543FF">
        <w:t>structural approach to gravity</w:t>
      </w:r>
      <w:r w:rsidR="00C711FE">
        <w:t>.</w:t>
      </w:r>
      <w:r w:rsidR="009543FF">
        <w:rPr>
          <w:rStyle w:val="FootnoteReference"/>
        </w:rPr>
        <w:footnoteReference w:id="25"/>
      </w:r>
      <w:r w:rsidR="00151592">
        <w:t xml:space="preserve">  Specifically, the </w:t>
      </w:r>
      <w:r w:rsidR="006F6CA2">
        <w:t>inclusion of time-varying importer</w:t>
      </w:r>
      <w:r w:rsidR="00422337">
        <w:t xml:space="preserve"> (</w:t>
      </w:r>
      <w:r w:rsidR="00422337" w:rsidRPr="00422337">
        <w:rPr>
          <w:i/>
        </w:rPr>
        <w:t>it</w:t>
      </w:r>
      <w:r w:rsidR="00422337">
        <w:t>), exporter (</w:t>
      </w:r>
      <w:r w:rsidR="00422337" w:rsidRPr="00422337">
        <w:rPr>
          <w:i/>
        </w:rPr>
        <w:t>jt</w:t>
      </w:r>
      <w:r w:rsidR="00422337">
        <w:t>) and product (</w:t>
      </w:r>
      <w:r w:rsidR="00422337" w:rsidRPr="00422337">
        <w:rPr>
          <w:i/>
        </w:rPr>
        <w:t>kt</w:t>
      </w:r>
      <w:r w:rsidR="00B56A1A">
        <w:t>) fixed</w:t>
      </w:r>
      <w:r w:rsidR="00422337">
        <w:t xml:space="preserve"> effects </w:t>
      </w:r>
      <w:r w:rsidR="006F6CA2">
        <w:t>in</w:t>
      </w:r>
      <w:r w:rsidR="00C711FE">
        <w:t xml:space="preserve"> </w:t>
      </w:r>
      <m:oMath>
        <m:r>
          <w:rPr>
            <w:rFonts w:ascii="Cambria Math" w:hAnsi="Cambria Math"/>
          </w:rPr>
          <m:t xml:space="preserve"> </m:t>
        </m:r>
        <m:acc>
          <m:accPr>
            <m:chr m:val="⃑"/>
            <m:ctrlPr>
              <w:rPr>
                <w:rFonts w:ascii="Cambria Math" w:hAnsi="Cambria Math"/>
                <w:i/>
              </w:rPr>
            </m:ctrlPr>
          </m:accPr>
          <m:e>
            <m:sSub>
              <m:sSubPr>
                <m:ctrlPr>
                  <w:rPr>
                    <w:rFonts w:ascii="Cambria Math" w:hAnsi="Cambria Math"/>
                    <w:i/>
                  </w:rPr>
                </m:ctrlPr>
              </m:sSubPr>
              <m:e>
                <m:r>
                  <w:rPr>
                    <w:rFonts w:ascii="Cambria Math" w:hAnsi="Cambria Math"/>
                  </w:rPr>
                  <m:t>D</m:t>
                </m:r>
              </m:e>
              <m:sub>
                <m:r>
                  <w:rPr>
                    <w:rFonts w:ascii="Cambria Math" w:hAnsi="Cambria Math"/>
                  </w:rPr>
                  <m:t>ijkt</m:t>
                </m:r>
              </m:sub>
            </m:sSub>
          </m:e>
        </m:acc>
      </m:oMath>
      <w:r w:rsidR="006F6CA2">
        <w:t xml:space="preserve"> </w:t>
      </w:r>
      <w:r w:rsidR="00422337">
        <w:t xml:space="preserve">capture </w:t>
      </w:r>
      <w:r w:rsidR="007A057B">
        <w:t xml:space="preserve">time-varying </w:t>
      </w:r>
      <w:r w:rsidR="00422337">
        <w:t xml:space="preserve">product and </w:t>
      </w:r>
      <w:r w:rsidR="007A057B">
        <w:t xml:space="preserve">country-specific factors that are either </w:t>
      </w:r>
      <w:r w:rsidR="00814FF2">
        <w:t xml:space="preserve">difficult </w:t>
      </w:r>
      <w:r w:rsidR="007A057B">
        <w:t>to pin down or measure.</w:t>
      </w:r>
      <w:r w:rsidR="009B2E25">
        <w:rPr>
          <w:rStyle w:val="FootnoteReference"/>
        </w:rPr>
        <w:footnoteReference w:id="26"/>
      </w:r>
    </w:p>
    <w:p w14:paraId="1CABCC7A" w14:textId="77777777" w:rsidR="003D6E05" w:rsidRDefault="003D6E05" w:rsidP="00422337">
      <w:pPr>
        <w:spacing w:line="360" w:lineRule="auto"/>
        <w:ind w:firstLine="720"/>
        <w:jc w:val="both"/>
      </w:pPr>
      <w:r>
        <w:t xml:space="preserve">We opted for first differencing the data across </w:t>
      </w:r>
      <w:r w:rsidR="000F356B">
        <w:t xml:space="preserve">our </w:t>
      </w:r>
      <w:r>
        <w:t>5-year time periods such that our dependent variable becomes dln</w:t>
      </w:r>
      <m:oMath>
        <m:sSub>
          <m:sSubPr>
            <m:ctrlPr>
              <w:rPr>
                <w:rFonts w:ascii="Cambria Math" w:hAnsi="Cambria Math"/>
                <w:b/>
                <w:i/>
              </w:rPr>
            </m:ctrlPr>
          </m:sSubPr>
          <m:e>
            <m:r>
              <m:rPr>
                <m:sty m:val="bi"/>
              </m:rPr>
              <w:rPr>
                <w:rFonts w:ascii="Cambria Math" w:hAnsi="Cambria Math"/>
              </w:rPr>
              <m:t>x</m:t>
            </m:r>
          </m:e>
          <m:sub>
            <m:r>
              <m:rPr>
                <m:sty m:val="bi"/>
              </m:rPr>
              <w:rPr>
                <w:rFonts w:ascii="Cambria Math" w:hAnsi="Cambria Math"/>
              </w:rPr>
              <m:t>ijk,t-(t-1)</m:t>
            </m:r>
          </m:sub>
        </m:sSub>
      </m:oMath>
      <w:r>
        <w:t>.</w:t>
      </w:r>
      <w:r w:rsidR="003B3AB6">
        <w:rPr>
          <w:rStyle w:val="FootnoteReference"/>
        </w:rPr>
        <w:footnoteReference w:id="27"/>
      </w:r>
      <w:r>
        <w:t xml:space="preserve">  Woolridge (2002, chapter 10) suggests that first-differencing a panel data set yields advantages if unobserved heterogeneity in trade flows is correlated over time.  In our context, by differencing the data we remove the need to include </w:t>
      </w:r>
      <w:r w:rsidRPr="003C607D">
        <w:rPr>
          <w:i/>
        </w:rPr>
        <w:t>ijk</w:t>
      </w:r>
      <w:r>
        <w:t xml:space="preserve"> fixed effects and </w:t>
      </w:r>
      <w:r w:rsidR="000F356B">
        <w:t xml:space="preserve">it </w:t>
      </w:r>
      <w:r>
        <w:t xml:space="preserve">has also the advantage of not assuming that </w:t>
      </w:r>
      <w:r w:rsidRPr="009F6EE1">
        <w:rPr>
          <w:i/>
        </w:rPr>
        <w:t>ijk</w:t>
      </w:r>
      <w:r>
        <w:t xml:space="preserve"> effects are time invariant.</w:t>
      </w:r>
      <w:r>
        <w:rPr>
          <w:rStyle w:val="FootnoteReference"/>
        </w:rPr>
        <w:footnoteReference w:id="28"/>
      </w:r>
      <w:r>
        <w:t xml:space="preserve"> </w:t>
      </w:r>
      <w:r w:rsidR="00C61836">
        <w:t xml:space="preserve"> </w:t>
      </w:r>
      <w:r>
        <w:t>So we regress dln</w:t>
      </w:r>
      <m:oMath>
        <m:sSub>
          <m:sSubPr>
            <m:ctrlPr>
              <w:rPr>
                <w:rFonts w:ascii="Cambria Math" w:hAnsi="Cambria Math"/>
                <w:i/>
              </w:rPr>
            </m:ctrlPr>
          </m:sSubPr>
          <m:e>
            <m:r>
              <w:rPr>
                <w:rFonts w:ascii="Cambria Math" w:hAnsi="Cambria Math"/>
              </w:rPr>
              <m:t>x</m:t>
            </m:r>
          </m:e>
          <m:sub>
            <m:r>
              <w:rPr>
                <w:rFonts w:ascii="Cambria Math" w:hAnsi="Cambria Math"/>
              </w:rPr>
              <m:t>ij,t-(t-1)</m:t>
            </m:r>
          </m:sub>
        </m:sSub>
        <m:r>
          <w:rPr>
            <w:rFonts w:ascii="Cambria Math" w:hAnsi="Cambria Math"/>
          </w:rPr>
          <m:t xml:space="preserve"> </m:t>
        </m:r>
      </m:oMath>
      <w:r w:rsidRPr="000F356B">
        <w:t>o</w:t>
      </w:r>
      <w:r>
        <w:t xml:space="preserve">n </w:t>
      </w:r>
      <m:oMath>
        <m:sSub>
          <m:sSubPr>
            <m:ctrlPr>
              <w:rPr>
                <w:rFonts w:ascii="Cambria Math" w:hAnsi="Cambria Math"/>
                <w:i/>
              </w:rPr>
            </m:ctrlPr>
          </m:sSubPr>
          <m:e>
            <m:r>
              <w:rPr>
                <w:rFonts w:ascii="Cambria Math" w:hAnsi="Cambria Math"/>
              </w:rPr>
              <m:t>Cont</m:t>
            </m:r>
          </m:e>
          <m:sub>
            <m:r>
              <w:rPr>
                <w:rFonts w:ascii="Cambria Math" w:hAnsi="Cambria Math"/>
              </w:rPr>
              <m:t>ij,t-(t-1)</m:t>
            </m:r>
          </m:sub>
        </m:sSub>
      </m:oMath>
      <w:r>
        <w:t xml:space="preserve"> and the other first differenced country-pair time-variant policy variables like being in a free trade agreement (FTA)</w:t>
      </w:r>
      <w:r w:rsidR="000F356B">
        <w:t xml:space="preserve"> or </w:t>
      </w:r>
      <w:r>
        <w:t>a member in the GATT</w:t>
      </w:r>
      <w:r w:rsidR="000F356B">
        <w:t>.</w:t>
      </w:r>
    </w:p>
    <w:p w14:paraId="05D0297C" w14:textId="77777777" w:rsidR="00261AFE" w:rsidRDefault="00261AFE" w:rsidP="00A91E23">
      <w:pPr>
        <w:spacing w:line="360" w:lineRule="auto"/>
        <w:jc w:val="both"/>
      </w:pPr>
    </w:p>
    <w:p w14:paraId="1DD42043" w14:textId="77777777" w:rsidR="00CD153C" w:rsidRPr="00B82B0C" w:rsidRDefault="00A91E23" w:rsidP="00CD153C">
      <w:pPr>
        <w:spacing w:line="360" w:lineRule="auto"/>
        <w:jc w:val="both"/>
      </w:pPr>
      <w:r w:rsidRPr="00614E99">
        <w:rPr>
          <w:i/>
        </w:rPr>
        <w:t>3.</w:t>
      </w:r>
      <w:r w:rsidR="003D6E05" w:rsidRPr="00614E99">
        <w:rPr>
          <w:i/>
        </w:rPr>
        <w:t>3</w:t>
      </w:r>
      <w:r w:rsidRPr="00614E99">
        <w:rPr>
          <w:i/>
        </w:rPr>
        <w:t xml:space="preserve"> </w:t>
      </w:r>
      <w:r w:rsidR="00A47C90">
        <w:rPr>
          <w:i/>
        </w:rPr>
        <w:t>E</w:t>
      </w:r>
      <w:r w:rsidR="00B82B0C">
        <w:rPr>
          <w:i/>
        </w:rPr>
        <w:t xml:space="preserve">mpirical </w:t>
      </w:r>
      <w:r w:rsidR="00A47C90">
        <w:rPr>
          <w:i/>
        </w:rPr>
        <w:t>findings</w:t>
      </w:r>
    </w:p>
    <w:p w14:paraId="6DE6763D" w14:textId="77777777" w:rsidR="003C0003" w:rsidRDefault="00CD153C" w:rsidP="005A5FAD">
      <w:pPr>
        <w:spacing w:line="360" w:lineRule="auto"/>
        <w:ind w:firstLine="720"/>
        <w:jc w:val="both"/>
      </w:pPr>
      <w:r>
        <w:t xml:space="preserve">Although our </w:t>
      </w:r>
      <w:r w:rsidR="00355E92">
        <w:t xml:space="preserve">entire data set </w:t>
      </w:r>
      <w:r w:rsidR="003D6E05">
        <w:t>c</w:t>
      </w:r>
      <w:r>
        <w:t xml:space="preserve">overs a total of 157 countries, we initially restrict </w:t>
      </w:r>
      <w:r w:rsidR="00B46185">
        <w:t xml:space="preserve">our analysis </w:t>
      </w:r>
      <w:r>
        <w:t>to</w:t>
      </w:r>
      <w:r w:rsidR="00B46185">
        <w:t xml:space="preserve"> a </w:t>
      </w:r>
      <w:r w:rsidR="00355E92">
        <w:t xml:space="preserve">sample of </w:t>
      </w:r>
      <w:r w:rsidR="00B46185">
        <w:t xml:space="preserve">22 </w:t>
      </w:r>
      <w:r w:rsidR="001C6193">
        <w:t xml:space="preserve">industrialized </w:t>
      </w:r>
      <w:r w:rsidR="00355E92">
        <w:t>countries, which we denote</w:t>
      </w:r>
      <w:r w:rsidR="00312EF6">
        <w:t xml:space="preserve"> as North-North trade.</w:t>
      </w:r>
      <w:r w:rsidR="001C6193">
        <w:rPr>
          <w:rStyle w:val="FootnoteReference"/>
        </w:rPr>
        <w:footnoteReference w:id="29"/>
      </w:r>
      <w:r w:rsidR="001C6193">
        <w:t xml:space="preserve"> </w:t>
      </w:r>
      <w:r w:rsidR="00A203EF">
        <w:t xml:space="preserve">Because </w:t>
      </w:r>
      <w:r w:rsidR="009E096D">
        <w:t xml:space="preserve">we expect a quicker and </w:t>
      </w:r>
      <w:r w:rsidR="00674090">
        <w:t xml:space="preserve">deeper penetration of container technology </w:t>
      </w:r>
      <w:r w:rsidR="00344DEA">
        <w:t>in industria</w:t>
      </w:r>
      <w:r w:rsidR="00C824F9">
        <w:t>lized countries (recall Figure 2</w:t>
      </w:r>
      <w:r w:rsidR="00344DEA">
        <w:t xml:space="preserve">), we </w:t>
      </w:r>
      <w:r w:rsidR="00B52125">
        <w:t xml:space="preserve">initially </w:t>
      </w:r>
      <w:r w:rsidR="00344DEA">
        <w:t xml:space="preserve">apply specification (5) </w:t>
      </w:r>
      <w:r w:rsidR="00D4164E">
        <w:t>on</w:t>
      </w:r>
      <w:r w:rsidR="00344DEA">
        <w:t xml:space="preserve"> an empirical domain where our technology variables </w:t>
      </w:r>
      <w:r w:rsidR="00D4164E">
        <w:lastRenderedPageBreak/>
        <w:t>are</w:t>
      </w:r>
      <w:r w:rsidR="009E096D">
        <w:t xml:space="preserve"> expected </w:t>
      </w:r>
      <w:r w:rsidR="00D4164E">
        <w:t xml:space="preserve">to </w:t>
      </w:r>
      <w:r w:rsidR="00B52125">
        <w:t>capture relatively similar transformations of the transportation sector.</w:t>
      </w:r>
      <w:r w:rsidR="00E428E5">
        <w:t xml:space="preserve">  In addition, </w:t>
      </w:r>
      <w:r w:rsidR="00032D5A">
        <w:t>restricting ourselves</w:t>
      </w:r>
      <w:r w:rsidR="00055167">
        <w:t xml:space="preserve"> to North-North trade yields </w:t>
      </w:r>
      <w:r w:rsidR="00C20377">
        <w:t xml:space="preserve">a full </w:t>
      </w:r>
      <w:r w:rsidR="00055167">
        <w:t>panel of</w:t>
      </w:r>
      <w:r w:rsidR="005A5FAD">
        <w:t xml:space="preserve"> country pairs.</w:t>
      </w:r>
    </w:p>
    <w:p w14:paraId="3D530270" w14:textId="77777777" w:rsidR="00E1437F" w:rsidRPr="0050747B" w:rsidRDefault="00E1437F" w:rsidP="009A62BF">
      <w:pPr>
        <w:spacing w:line="360" w:lineRule="auto"/>
        <w:ind w:firstLine="720"/>
        <w:jc w:val="both"/>
      </w:pPr>
      <w:r>
        <w:t>Our dependent variable is the log of exports and imports between a country pair i an</w:t>
      </w:r>
      <w:r w:rsidR="000C6C34">
        <w:t>d</w:t>
      </w:r>
      <w:r>
        <w:t xml:space="preserve"> j in a 4-digit product line k. We only considered observations with trade occurring in at least one direction, and implicitly categorized missing observations with a zero trade flow.</w:t>
      </w:r>
      <w:r>
        <w:rPr>
          <w:rStyle w:val="FootnoteReference"/>
        </w:rPr>
        <w:footnoteReference w:id="30"/>
      </w:r>
      <w:r>
        <w:t xml:space="preserve"> </w:t>
      </w:r>
      <w:r w:rsidR="006812E2">
        <w:t xml:space="preserve">The rationale behind this is that bilateral containerization should affect total bilateral trade rather than a specific direction. </w:t>
      </w:r>
      <w:r>
        <w:t xml:space="preserve">Because not all country pairs </w:t>
      </w:r>
      <w:r w:rsidR="000C6C34">
        <w:t>trade the same set of products</w:t>
      </w:r>
      <w:r w:rsidR="00B15D70">
        <w:t xml:space="preserve"> in all years</w:t>
      </w:r>
      <w:r w:rsidR="000C6C34">
        <w:t xml:space="preserve"> even in North-North trade, for which the panel is balanced on the ‘country-pair dimension’, the panel </w:t>
      </w:r>
      <w:r>
        <w:t xml:space="preserve">is </w:t>
      </w:r>
      <w:r w:rsidR="006812E2">
        <w:t>’</w:t>
      </w:r>
      <w:r>
        <w:t>naturally</w:t>
      </w:r>
      <w:r w:rsidR="006812E2">
        <w:t>’</w:t>
      </w:r>
      <w:r>
        <w:t xml:space="preserve"> imbalanced </w:t>
      </w:r>
      <w:r w:rsidR="006812E2">
        <w:t>in</w:t>
      </w:r>
      <w:r>
        <w:t xml:space="preserve"> the product dimension</w:t>
      </w:r>
      <w:r w:rsidR="000C6C34">
        <w:t xml:space="preserve">. </w:t>
      </w:r>
      <w:r w:rsidR="006812E2">
        <w:t xml:space="preserve"> </w:t>
      </w:r>
      <w:r w:rsidR="00B90FCD">
        <w:t>To examine the</w:t>
      </w:r>
      <w:r w:rsidR="00B15D70">
        <w:t xml:space="preserve"> potential biases from </w:t>
      </w:r>
      <w:r w:rsidR="00B90FCD">
        <w:t>product im</w:t>
      </w:r>
      <w:r w:rsidR="00B15D70">
        <w:t xml:space="preserve">balances we report results on the ‘full sample’ and on a </w:t>
      </w:r>
      <w:r w:rsidR="006812E2">
        <w:t>‘</w:t>
      </w:r>
      <w:r w:rsidR="00B15D70">
        <w:t>restricted sample</w:t>
      </w:r>
      <w:r w:rsidR="006812E2">
        <w:t>’</w:t>
      </w:r>
      <w:r w:rsidR="00B15D70">
        <w:t xml:space="preserve"> which includes only products which appear </w:t>
      </w:r>
      <w:r w:rsidR="006812E2">
        <w:t xml:space="preserve">during </w:t>
      </w:r>
      <w:r w:rsidR="00B15D70">
        <w:t>the whole time period for at least one country pair. The latter can be thought of a ‘more balanced</w:t>
      </w:r>
      <w:r w:rsidR="006812E2">
        <w:t>’</w:t>
      </w:r>
      <w:r w:rsidR="00D51656">
        <w:t xml:space="preserve"> panel </w:t>
      </w:r>
      <w:r w:rsidR="002C3402">
        <w:t>in the product dimension.</w:t>
      </w:r>
      <w:r w:rsidR="006B0635">
        <w:t xml:space="preserve">  We also estimate equation (5) both on the </w:t>
      </w:r>
      <w:r w:rsidR="009A62BF">
        <w:t>subsample of containerizable product</w:t>
      </w:r>
      <w:r w:rsidR="006B0635">
        <w:t xml:space="preserve"> </w:t>
      </w:r>
      <w:r w:rsidR="009A62BF">
        <w:t>lines, based on the 1968 classification of containerizability as discussed in the previous section, and on all product lines.</w:t>
      </w:r>
    </w:p>
    <w:p w14:paraId="34915B54" w14:textId="77777777" w:rsidR="00A47C90" w:rsidRDefault="003C0003" w:rsidP="00A47C90">
      <w:pPr>
        <w:spacing w:line="360" w:lineRule="auto"/>
        <w:ind w:firstLine="720"/>
        <w:jc w:val="both"/>
      </w:pPr>
      <w:r>
        <w:t xml:space="preserve">Table </w:t>
      </w:r>
      <w:r w:rsidR="00040E71">
        <w:t>2</w:t>
      </w:r>
      <w:r>
        <w:t xml:space="preserve"> contains the estimates of </w:t>
      </w:r>
      <w:r w:rsidR="00B82B0C">
        <w:t>the different specifications of North-North trade</w:t>
      </w:r>
      <w:r>
        <w:t>. The upper panel gives the estimates of the f</w:t>
      </w:r>
      <w:r w:rsidR="0050747B">
        <w:t>ull containerization variable (3</w:t>
      </w:r>
      <w:r>
        <w:t xml:space="preserve">) and the lower panel of the </w:t>
      </w:r>
      <w:r w:rsidR="0050747B">
        <w:t xml:space="preserve">sea </w:t>
      </w:r>
      <w:r>
        <w:t>port containerization variable (</w:t>
      </w:r>
      <w:r w:rsidR="0050747B">
        <w:t>4</w:t>
      </w:r>
      <w:r>
        <w:t>).</w:t>
      </w:r>
      <w:r w:rsidR="0050747B">
        <w:t xml:space="preserve"> </w:t>
      </w:r>
      <w:r w:rsidR="00914C89">
        <w:t xml:space="preserve"> Columns (1)-(3) pertain to the full product sample and columns (4)-(5) to the more balanced panel as discussed above.</w:t>
      </w:r>
      <w:r w:rsidR="00A44FDE">
        <w:t xml:space="preserve"> </w:t>
      </w:r>
      <w:r w:rsidR="002D3900">
        <w:t xml:space="preserve"> An advantage of our panel specification is that it allows us to explore the dynamic effects of containerization, which we capture using lagged terms of our main explanatory variable and also of </w:t>
      </w:r>
      <w:r w:rsidR="00A47C90">
        <w:t xml:space="preserve">the other co-variates. </w:t>
      </w:r>
      <w:r w:rsidR="008776FA">
        <w:t>Overall, the results in Table 2 suggest that containerization had statistically significant and economically large effects on</w:t>
      </w:r>
      <w:r w:rsidR="00A44FDE">
        <w:t xml:space="preserve"> the volume of bilateral trade.</w:t>
      </w:r>
      <w:r w:rsidR="00A47C90">
        <w:t xml:space="preserve"> </w:t>
      </w:r>
      <w:r w:rsidR="008776FA">
        <w:t xml:space="preserve">The </w:t>
      </w:r>
      <w:r w:rsidR="00A47C90">
        <w:t>coefficient</w:t>
      </w:r>
      <w:r w:rsidR="00B56A1A">
        <w:t>s</w:t>
      </w:r>
      <w:r w:rsidR="00A47C90">
        <w:t xml:space="preserve"> of the </w:t>
      </w:r>
      <w:r w:rsidR="008776FA">
        <w:t>lagged e</w:t>
      </w:r>
      <w:r w:rsidR="00A47C90">
        <w:t xml:space="preserve">ffects </w:t>
      </w:r>
      <w:r w:rsidR="008776FA">
        <w:t>reveal that containerization had stro</w:t>
      </w:r>
      <w:r w:rsidR="00A44FDE">
        <w:t xml:space="preserve">ng and persistent effects even </w:t>
      </w:r>
      <w:r w:rsidR="008776FA">
        <w:t xml:space="preserve">20 years after bilateral adoption. </w:t>
      </w:r>
    </w:p>
    <w:p w14:paraId="47697AC9" w14:textId="77777777" w:rsidR="00A47C90" w:rsidRDefault="0063200F" w:rsidP="00A47C90">
      <w:pPr>
        <w:spacing w:line="360" w:lineRule="auto"/>
        <w:ind w:firstLine="720"/>
        <w:jc w:val="both"/>
      </w:pPr>
      <w:r>
        <w:t>Let’s take a closer look at the estimates in our benchmark specification (</w:t>
      </w:r>
      <w:r w:rsidR="00A47C90">
        <w:t>1</w:t>
      </w:r>
      <w:r>
        <w:t xml:space="preserve">) for North-North trade.  The estimated coefficient of 1.436 on the </w:t>
      </w:r>
      <w:r w:rsidRPr="00795916">
        <w:rPr>
          <w:i/>
        </w:rPr>
        <w:t>fullcont</w:t>
      </w:r>
      <w:r>
        <w:t xml:space="preserve"> variable in the upper panel suggests that the concurrent effect of containerization was to raise bilateral trade flows on average by 320% (=e</w:t>
      </w:r>
      <w:r>
        <w:rPr>
          <w:vertAlign w:val="superscript"/>
        </w:rPr>
        <w:t>1.436</w:t>
      </w:r>
      <w:r>
        <w:t>-1) compared to where both countries had not yet adopted the container technology. The coefficients on the lag variables reveal that over the next 5-year periods the effect was 232% (=e</w:t>
      </w:r>
      <w:r>
        <w:rPr>
          <w:vertAlign w:val="superscript"/>
        </w:rPr>
        <w:t>1.199</w:t>
      </w:r>
      <w:r>
        <w:t>-1), 156% (=e</w:t>
      </w:r>
      <w:r>
        <w:rPr>
          <w:vertAlign w:val="superscript"/>
        </w:rPr>
        <w:t>0.939</w:t>
      </w:r>
      <w:r>
        <w:t>-1) and 82% (=e</w:t>
      </w:r>
      <w:r>
        <w:rPr>
          <w:vertAlign w:val="superscript"/>
        </w:rPr>
        <w:t>0.601</w:t>
      </w:r>
      <w:r>
        <w:t>-1) respectively. The cumulative average treatment effect (ATE) of containerization over a 20 year time period amount to a staggering 790%.</w:t>
      </w:r>
      <w:r>
        <w:rPr>
          <w:rStyle w:val="FootnoteReference"/>
        </w:rPr>
        <w:footnoteReference w:id="31"/>
      </w:r>
    </w:p>
    <w:p w14:paraId="34983F9F" w14:textId="77777777" w:rsidR="005F1642" w:rsidRDefault="00A47C90" w:rsidP="008D41D7">
      <w:pPr>
        <w:spacing w:line="360" w:lineRule="auto"/>
        <w:ind w:firstLine="720"/>
        <w:jc w:val="both"/>
      </w:pPr>
      <w:r>
        <w:lastRenderedPageBreak/>
        <w:t xml:space="preserve">How do the effects of containerization compare to the trade policy variables that we include in the regression? As mentioned above we included two sets of time-varying policy variables. </w:t>
      </w:r>
      <w:r w:rsidRPr="002E51DF">
        <w:t xml:space="preserve">The </w:t>
      </w:r>
      <w:r w:rsidRPr="00813C4A">
        <w:rPr>
          <w:i/>
        </w:rPr>
        <w:t>fta</w:t>
      </w:r>
      <w:r w:rsidRPr="002E51DF">
        <w:t xml:space="preserve"> dummy in</w:t>
      </w:r>
      <w:r>
        <w:t xml:space="preserve">dicates whether a country pair i,j </w:t>
      </w:r>
      <w:r w:rsidRPr="002E51DF">
        <w:t xml:space="preserve">belonged </w:t>
      </w:r>
      <w:r>
        <w:t xml:space="preserve">either to </w:t>
      </w:r>
      <w:r w:rsidRPr="002E51DF">
        <w:t xml:space="preserve">the same regional free trade block or had a free trade agreement in a specific year. The </w:t>
      </w:r>
      <w:r>
        <w:t>GATT variable switches to 1 if countries i and j are a member of GATT, the pr</w:t>
      </w:r>
      <w:r w:rsidR="00180D2C">
        <w:t>ecursor of the WTO, at time</w:t>
      </w:r>
      <w:r>
        <w:t xml:space="preserve"> t. The inclusion of lagged effects permit</w:t>
      </w:r>
      <w:r w:rsidR="005945D7">
        <w:t>s</w:t>
      </w:r>
      <w:r>
        <w:t xml:space="preserve"> us also to investigate the dynamic effects of these variables.</w:t>
      </w:r>
    </w:p>
    <w:p w14:paraId="4FCD7EFE" w14:textId="77777777" w:rsidR="00180D2C" w:rsidRPr="0042251D" w:rsidRDefault="00180D2C" w:rsidP="0042251D">
      <w:pPr>
        <w:spacing w:line="360" w:lineRule="auto"/>
        <w:ind w:firstLine="720"/>
        <w:jc w:val="both"/>
      </w:pPr>
      <w:r>
        <w:t xml:space="preserve">We find that the estimated effects of containerization are generally much bigger than trade policy variables. The concurrent and the first two lags of the </w:t>
      </w:r>
      <w:r w:rsidRPr="00E913E6">
        <w:rPr>
          <w:i/>
        </w:rPr>
        <w:t>fta</w:t>
      </w:r>
      <w:r>
        <w:t xml:space="preserve"> variable have the expected positive sign and are highly significant; the third lag is negative but is also imprecisely estimated. The concurrent effect of a free trade agreement is to raise trade by an average of 26% (=e</w:t>
      </w:r>
      <w:r>
        <w:rPr>
          <w:vertAlign w:val="superscript"/>
        </w:rPr>
        <w:t>0.229</w:t>
      </w:r>
      <w:r>
        <w:t xml:space="preserve">-1), which is less than 10% of the concurrent effect of full containerization.  The coefficients on the lags of the </w:t>
      </w:r>
      <w:r w:rsidRPr="00E913E6">
        <w:rPr>
          <w:i/>
        </w:rPr>
        <w:t>fta</w:t>
      </w:r>
      <w:r>
        <w:t xml:space="preserve"> variable reveal that over the next 5-year periods the effect was 13% (=e</w:t>
      </w:r>
      <w:r>
        <w:rPr>
          <w:vertAlign w:val="superscript"/>
        </w:rPr>
        <w:t>0.123</w:t>
      </w:r>
      <w:r>
        <w:t>-1) and 6% (=e</w:t>
      </w:r>
      <w:r>
        <w:rPr>
          <w:vertAlign w:val="superscript"/>
        </w:rPr>
        <w:t>0.0545</w:t>
      </w:r>
      <w:r>
        <w:t xml:space="preserve">-1) respectively. The cumulative ATE of a free-trade agreement amount then to 45%. </w:t>
      </w:r>
      <w:r w:rsidR="0042251D">
        <w:t xml:space="preserve"> </w:t>
      </w:r>
      <w:r>
        <w:t xml:space="preserve">It is reassuring that our </w:t>
      </w:r>
      <w:r w:rsidR="0042251D">
        <w:t>cumulative ATE estimates of the</w:t>
      </w:r>
      <w:r>
        <w:t xml:space="preserve"> </w:t>
      </w:r>
      <w:r w:rsidRPr="0042251D">
        <w:rPr>
          <w:i/>
        </w:rPr>
        <w:t>fta</w:t>
      </w:r>
      <w:r>
        <w:t xml:space="preserve"> </w:t>
      </w:r>
      <w:r w:rsidR="0042251D">
        <w:t xml:space="preserve">variable is similar in magnitude to the </w:t>
      </w:r>
      <w:r>
        <w:t>estimate</w:t>
      </w:r>
      <w:r w:rsidR="0042251D">
        <w:t>s</w:t>
      </w:r>
      <w:r>
        <w:t xml:space="preserve"> </w:t>
      </w:r>
      <w:r w:rsidR="0042251D">
        <w:t xml:space="preserve">reported </w:t>
      </w:r>
      <w:r>
        <w:t>by Baier and Bergstrand (2007, p.91), who consider a panel</w:t>
      </w:r>
      <w:r w:rsidR="0042251D">
        <w:t xml:space="preserve"> data on aggregate trade flows.</w:t>
      </w:r>
    </w:p>
    <w:p w14:paraId="198DB403" w14:textId="77777777" w:rsidR="005E2B4C" w:rsidRDefault="000213BB" w:rsidP="000213BB">
      <w:pPr>
        <w:spacing w:line="360" w:lineRule="auto"/>
        <w:ind w:firstLine="720"/>
        <w:jc w:val="both"/>
      </w:pPr>
      <w:r>
        <w:t xml:space="preserve">The concurrent and three lag effects of the GATT are all statistically significant and lie in economic magnitude between the container and the </w:t>
      </w:r>
      <w:r w:rsidRPr="001B7715">
        <w:rPr>
          <w:i/>
        </w:rPr>
        <w:t>fta</w:t>
      </w:r>
      <w:r>
        <w:t xml:space="preserve"> variables. The concurrent effect of bilateral GATT membership is to raise trade by an average of 92% (=e</w:t>
      </w:r>
      <w:r>
        <w:rPr>
          <w:vertAlign w:val="superscript"/>
        </w:rPr>
        <w:t>0.653</w:t>
      </w:r>
      <w:r>
        <w:t>-1), which is less than a third the concurrent effect of full containerization.  The coefficients on the lags of the GATT variable reveal relatively persistent long-term effects, 10+ years following bilateral membership.  Over the next 5-year periods the effect was 93% (=e</w:t>
      </w:r>
      <w:r>
        <w:rPr>
          <w:vertAlign w:val="superscript"/>
        </w:rPr>
        <w:t>0.660</w:t>
      </w:r>
      <w:r>
        <w:t>-1) and 71% (=e</w:t>
      </w:r>
      <w:r>
        <w:rPr>
          <w:vertAlign w:val="superscript"/>
        </w:rPr>
        <w:t>0.535</w:t>
      </w:r>
      <w:r>
        <w:t xml:space="preserve">-1)  respectively, </w:t>
      </w:r>
      <w:r w:rsidR="0042251D">
        <w:t xml:space="preserve"> </w:t>
      </w:r>
      <w:r>
        <w:t>before dropping to 29% (=e</w:t>
      </w:r>
      <w:r>
        <w:rPr>
          <w:vertAlign w:val="superscript"/>
        </w:rPr>
        <w:t>0.254</w:t>
      </w:r>
      <w:r>
        <w:t>-1).  The cumulative ATE of GATT membership for bilateral trade is then estimated to amount to 285%, considerably higher than the average effect on free trade agreements, but less than half the accumulated effect of containerization.</w:t>
      </w:r>
    </w:p>
    <w:p w14:paraId="6C3F937B" w14:textId="77777777" w:rsidR="005E2B4C" w:rsidRDefault="005E2B4C">
      <w:pPr>
        <w:spacing w:after="200" w:line="276" w:lineRule="auto"/>
      </w:pPr>
      <w:r>
        <w:br w:type="page"/>
      </w:r>
    </w:p>
    <w:p w14:paraId="5E09BEF5" w14:textId="77777777" w:rsidR="000213BB" w:rsidRDefault="000213BB" w:rsidP="000213BB">
      <w:pPr>
        <w:spacing w:line="360" w:lineRule="auto"/>
        <w:ind w:firstLine="720"/>
        <w:jc w:val="both"/>
      </w:pPr>
    </w:p>
    <w:p w14:paraId="36EF9EC9" w14:textId="77777777" w:rsidR="00847F65" w:rsidRDefault="0093160C" w:rsidP="00847F65">
      <w:pPr>
        <w:rPr>
          <w:b/>
        </w:rPr>
      </w:pPr>
      <w:r w:rsidRPr="0093160C">
        <w:rPr>
          <w:b/>
        </w:rPr>
        <w:t xml:space="preserve">Table </w:t>
      </w:r>
      <w:r w:rsidR="00AF62C9" w:rsidRPr="0093160C">
        <w:rPr>
          <w:b/>
        </w:rPr>
        <w:fldChar w:fldCharType="begin"/>
      </w:r>
      <w:r w:rsidRPr="0093160C">
        <w:rPr>
          <w:b/>
        </w:rPr>
        <w:instrText xml:space="preserve"> SEQ Table \* ARABIC </w:instrText>
      </w:r>
      <w:r w:rsidR="00AF62C9" w:rsidRPr="0093160C">
        <w:rPr>
          <w:b/>
        </w:rPr>
        <w:fldChar w:fldCharType="separate"/>
      </w:r>
      <w:r w:rsidR="00E75E00">
        <w:rPr>
          <w:b/>
          <w:noProof/>
        </w:rPr>
        <w:t>2</w:t>
      </w:r>
      <w:r w:rsidR="00AF62C9" w:rsidRPr="0093160C">
        <w:rPr>
          <w:b/>
        </w:rPr>
        <w:fldChar w:fldCharType="end"/>
      </w:r>
      <w:r w:rsidRPr="0093160C">
        <w:rPr>
          <w:b/>
        </w:rPr>
        <w:t>: First di</w:t>
      </w:r>
      <w:r>
        <w:rPr>
          <w:b/>
        </w:rPr>
        <w:t>fferenced</w:t>
      </w:r>
      <w:r w:rsidRPr="0093160C">
        <w:rPr>
          <w:b/>
        </w:rPr>
        <w:t xml:space="preserve"> panel estimates for North-North trade (with country-time and product-time</w:t>
      </w:r>
      <w:r>
        <w:rPr>
          <w:b/>
        </w:rPr>
        <w:t xml:space="preserve"> fixed effects)</w:t>
      </w:r>
    </w:p>
    <w:tbl>
      <w:tblPr>
        <w:tblW w:w="10190" w:type="dxa"/>
        <w:tblInd w:w="93" w:type="dxa"/>
        <w:tblLayout w:type="fixed"/>
        <w:tblLook w:val="04A0" w:firstRow="1" w:lastRow="0" w:firstColumn="1" w:lastColumn="0" w:noHBand="0" w:noVBand="1"/>
      </w:tblPr>
      <w:tblGrid>
        <w:gridCol w:w="2142"/>
        <w:gridCol w:w="1742"/>
        <w:gridCol w:w="1742"/>
        <w:gridCol w:w="1415"/>
        <w:gridCol w:w="1742"/>
        <w:gridCol w:w="1407"/>
      </w:tblGrid>
      <w:tr w:rsidR="00847F65" w:rsidRPr="00847F65" w14:paraId="25388A28" w14:textId="77777777" w:rsidTr="00090E3A">
        <w:trPr>
          <w:trHeight w:val="300"/>
        </w:trPr>
        <w:tc>
          <w:tcPr>
            <w:tcW w:w="2142" w:type="dxa"/>
            <w:tcBorders>
              <w:top w:val="double" w:sz="4" w:space="0" w:color="auto"/>
              <w:left w:val="nil"/>
              <w:bottom w:val="nil"/>
              <w:right w:val="nil"/>
            </w:tcBorders>
            <w:shd w:val="clear" w:color="auto" w:fill="auto"/>
            <w:noWrap/>
            <w:vAlign w:val="center"/>
            <w:hideMark/>
          </w:tcPr>
          <w:p w14:paraId="21AB606F" w14:textId="77777777" w:rsidR="00847F65" w:rsidRPr="00847F65" w:rsidRDefault="00847F65" w:rsidP="00090E3A">
            <w:pPr>
              <w:jc w:val="center"/>
              <w:rPr>
                <w:color w:val="000000"/>
                <w:sz w:val="20"/>
                <w:szCs w:val="20"/>
              </w:rPr>
            </w:pPr>
          </w:p>
        </w:tc>
        <w:tc>
          <w:tcPr>
            <w:tcW w:w="4899" w:type="dxa"/>
            <w:gridSpan w:val="3"/>
            <w:tcBorders>
              <w:top w:val="double" w:sz="4" w:space="0" w:color="auto"/>
              <w:left w:val="nil"/>
              <w:bottom w:val="nil"/>
            </w:tcBorders>
            <w:shd w:val="clear" w:color="auto" w:fill="auto"/>
            <w:noWrap/>
            <w:vAlign w:val="center"/>
            <w:hideMark/>
          </w:tcPr>
          <w:p w14:paraId="469F4CE1" w14:textId="77777777" w:rsidR="00847F65" w:rsidRPr="00847F65" w:rsidRDefault="00847F65" w:rsidP="00090E3A">
            <w:pPr>
              <w:jc w:val="center"/>
              <w:rPr>
                <w:color w:val="000000"/>
                <w:sz w:val="20"/>
                <w:szCs w:val="20"/>
              </w:rPr>
            </w:pPr>
            <w:r w:rsidRPr="00847F65">
              <w:rPr>
                <w:color w:val="000000"/>
                <w:sz w:val="20"/>
                <w:szCs w:val="20"/>
              </w:rPr>
              <w:t>Full sample</w:t>
            </w:r>
          </w:p>
        </w:tc>
        <w:tc>
          <w:tcPr>
            <w:tcW w:w="3149" w:type="dxa"/>
            <w:gridSpan w:val="2"/>
            <w:tcBorders>
              <w:top w:val="double" w:sz="4" w:space="0" w:color="auto"/>
              <w:bottom w:val="nil"/>
              <w:right w:val="nil"/>
            </w:tcBorders>
            <w:shd w:val="clear" w:color="auto" w:fill="auto"/>
            <w:noWrap/>
            <w:vAlign w:val="center"/>
            <w:hideMark/>
          </w:tcPr>
          <w:p w14:paraId="6855234F" w14:textId="77777777" w:rsidR="00847F65" w:rsidRPr="00847F65" w:rsidRDefault="00847F65" w:rsidP="00090E3A">
            <w:pPr>
              <w:jc w:val="center"/>
              <w:rPr>
                <w:color w:val="000000"/>
                <w:sz w:val="20"/>
                <w:szCs w:val="20"/>
              </w:rPr>
            </w:pPr>
            <w:r w:rsidRPr="00847F65">
              <w:rPr>
                <w:color w:val="000000"/>
                <w:sz w:val="20"/>
                <w:szCs w:val="20"/>
              </w:rPr>
              <w:t>More balanced sample</w:t>
            </w:r>
          </w:p>
        </w:tc>
      </w:tr>
      <w:tr w:rsidR="00847F65" w:rsidRPr="00847F65" w14:paraId="24CE5434" w14:textId="77777777" w:rsidTr="00090E3A">
        <w:trPr>
          <w:trHeight w:val="300"/>
        </w:trPr>
        <w:tc>
          <w:tcPr>
            <w:tcW w:w="2142" w:type="dxa"/>
            <w:tcBorders>
              <w:top w:val="nil"/>
              <w:left w:val="nil"/>
              <w:bottom w:val="nil"/>
              <w:right w:val="nil"/>
            </w:tcBorders>
            <w:shd w:val="clear" w:color="auto" w:fill="auto"/>
            <w:noWrap/>
            <w:vAlign w:val="center"/>
            <w:hideMark/>
          </w:tcPr>
          <w:p w14:paraId="0518EF0F" w14:textId="77777777" w:rsidR="00847F65" w:rsidRPr="00847F65" w:rsidRDefault="00847F65" w:rsidP="00090E3A">
            <w:pPr>
              <w:jc w:val="center"/>
              <w:rPr>
                <w:color w:val="000000"/>
                <w:sz w:val="20"/>
                <w:szCs w:val="20"/>
              </w:rPr>
            </w:pPr>
          </w:p>
        </w:tc>
        <w:tc>
          <w:tcPr>
            <w:tcW w:w="1742" w:type="dxa"/>
            <w:tcBorders>
              <w:top w:val="nil"/>
              <w:left w:val="nil"/>
              <w:bottom w:val="nil"/>
              <w:right w:val="nil"/>
            </w:tcBorders>
            <w:shd w:val="clear" w:color="auto" w:fill="auto"/>
            <w:noWrap/>
            <w:vAlign w:val="center"/>
            <w:hideMark/>
          </w:tcPr>
          <w:p w14:paraId="2897D3B7" w14:textId="77777777" w:rsidR="00847F65" w:rsidRPr="00847F65" w:rsidRDefault="00847F65" w:rsidP="00090E3A">
            <w:pPr>
              <w:jc w:val="center"/>
              <w:rPr>
                <w:color w:val="000000"/>
                <w:sz w:val="20"/>
                <w:szCs w:val="20"/>
              </w:rPr>
            </w:pPr>
            <w:r w:rsidRPr="00847F65">
              <w:rPr>
                <w:color w:val="000000"/>
                <w:sz w:val="20"/>
                <w:szCs w:val="20"/>
              </w:rPr>
              <w:t>(1)</w:t>
            </w:r>
          </w:p>
        </w:tc>
        <w:tc>
          <w:tcPr>
            <w:tcW w:w="1742" w:type="dxa"/>
            <w:tcBorders>
              <w:top w:val="nil"/>
              <w:left w:val="nil"/>
              <w:bottom w:val="nil"/>
              <w:right w:val="nil"/>
            </w:tcBorders>
            <w:shd w:val="clear" w:color="auto" w:fill="auto"/>
            <w:noWrap/>
            <w:vAlign w:val="center"/>
            <w:hideMark/>
          </w:tcPr>
          <w:p w14:paraId="63A1CEF9" w14:textId="77777777" w:rsidR="00847F65" w:rsidRPr="00847F65" w:rsidRDefault="00847F65" w:rsidP="00090E3A">
            <w:pPr>
              <w:jc w:val="center"/>
              <w:rPr>
                <w:color w:val="000000"/>
                <w:sz w:val="20"/>
                <w:szCs w:val="20"/>
              </w:rPr>
            </w:pPr>
            <w:r w:rsidRPr="00847F65">
              <w:rPr>
                <w:color w:val="000000"/>
                <w:sz w:val="20"/>
                <w:szCs w:val="20"/>
              </w:rPr>
              <w:t>(2)</w:t>
            </w:r>
          </w:p>
        </w:tc>
        <w:tc>
          <w:tcPr>
            <w:tcW w:w="1415" w:type="dxa"/>
            <w:tcBorders>
              <w:top w:val="nil"/>
              <w:left w:val="nil"/>
              <w:bottom w:val="nil"/>
            </w:tcBorders>
            <w:shd w:val="clear" w:color="auto" w:fill="auto"/>
            <w:noWrap/>
            <w:vAlign w:val="center"/>
            <w:hideMark/>
          </w:tcPr>
          <w:p w14:paraId="518E08D6" w14:textId="77777777" w:rsidR="00847F65" w:rsidRPr="00847F65" w:rsidRDefault="00847F65" w:rsidP="00090E3A">
            <w:pPr>
              <w:jc w:val="center"/>
              <w:rPr>
                <w:color w:val="000000"/>
                <w:sz w:val="20"/>
                <w:szCs w:val="20"/>
              </w:rPr>
            </w:pPr>
            <w:r w:rsidRPr="00847F65">
              <w:rPr>
                <w:color w:val="000000"/>
                <w:sz w:val="20"/>
                <w:szCs w:val="20"/>
              </w:rPr>
              <w:t>(3)</w:t>
            </w:r>
          </w:p>
        </w:tc>
        <w:tc>
          <w:tcPr>
            <w:tcW w:w="1742" w:type="dxa"/>
            <w:tcBorders>
              <w:top w:val="nil"/>
              <w:bottom w:val="nil"/>
              <w:right w:val="nil"/>
            </w:tcBorders>
            <w:shd w:val="clear" w:color="auto" w:fill="auto"/>
            <w:noWrap/>
            <w:vAlign w:val="center"/>
            <w:hideMark/>
          </w:tcPr>
          <w:p w14:paraId="50F5E68A" w14:textId="77777777" w:rsidR="00847F65" w:rsidRPr="00847F65" w:rsidRDefault="00847F65" w:rsidP="00090E3A">
            <w:pPr>
              <w:jc w:val="center"/>
              <w:rPr>
                <w:color w:val="000000"/>
                <w:sz w:val="20"/>
                <w:szCs w:val="20"/>
              </w:rPr>
            </w:pPr>
            <w:r w:rsidRPr="00847F65">
              <w:rPr>
                <w:color w:val="000000"/>
                <w:sz w:val="20"/>
                <w:szCs w:val="20"/>
              </w:rPr>
              <w:t>(4)</w:t>
            </w:r>
          </w:p>
        </w:tc>
        <w:tc>
          <w:tcPr>
            <w:tcW w:w="1407" w:type="dxa"/>
            <w:tcBorders>
              <w:top w:val="nil"/>
              <w:left w:val="nil"/>
              <w:bottom w:val="nil"/>
              <w:right w:val="nil"/>
            </w:tcBorders>
            <w:shd w:val="clear" w:color="auto" w:fill="auto"/>
            <w:noWrap/>
            <w:vAlign w:val="center"/>
            <w:hideMark/>
          </w:tcPr>
          <w:p w14:paraId="049A0C16" w14:textId="77777777" w:rsidR="00847F65" w:rsidRPr="00847F65" w:rsidRDefault="00847F65" w:rsidP="00090E3A">
            <w:pPr>
              <w:jc w:val="center"/>
              <w:rPr>
                <w:color w:val="000000"/>
                <w:sz w:val="20"/>
                <w:szCs w:val="20"/>
              </w:rPr>
            </w:pPr>
            <w:r w:rsidRPr="00847F65">
              <w:rPr>
                <w:color w:val="000000"/>
                <w:sz w:val="20"/>
                <w:szCs w:val="20"/>
              </w:rPr>
              <w:t>(5)</w:t>
            </w:r>
          </w:p>
        </w:tc>
      </w:tr>
      <w:tr w:rsidR="00847F65" w:rsidRPr="00847F65" w14:paraId="102730B6" w14:textId="77777777" w:rsidTr="00090E3A">
        <w:trPr>
          <w:trHeight w:val="300"/>
        </w:trPr>
        <w:tc>
          <w:tcPr>
            <w:tcW w:w="2142" w:type="dxa"/>
            <w:tcBorders>
              <w:top w:val="nil"/>
              <w:left w:val="nil"/>
              <w:bottom w:val="single" w:sz="4" w:space="0" w:color="auto"/>
              <w:right w:val="nil"/>
            </w:tcBorders>
            <w:shd w:val="clear" w:color="auto" w:fill="auto"/>
            <w:noWrap/>
            <w:vAlign w:val="center"/>
            <w:hideMark/>
          </w:tcPr>
          <w:p w14:paraId="1A8108D0" w14:textId="77777777" w:rsidR="00847F65" w:rsidRPr="00847F65" w:rsidRDefault="00847F65" w:rsidP="00090E3A">
            <w:pPr>
              <w:jc w:val="center"/>
              <w:rPr>
                <w:color w:val="000000"/>
                <w:sz w:val="20"/>
                <w:szCs w:val="20"/>
              </w:rPr>
            </w:pPr>
          </w:p>
        </w:tc>
        <w:tc>
          <w:tcPr>
            <w:tcW w:w="1742" w:type="dxa"/>
            <w:tcBorders>
              <w:top w:val="nil"/>
              <w:left w:val="nil"/>
              <w:bottom w:val="single" w:sz="4" w:space="0" w:color="auto"/>
              <w:right w:val="nil"/>
            </w:tcBorders>
            <w:shd w:val="clear" w:color="auto" w:fill="auto"/>
            <w:noWrap/>
            <w:vAlign w:val="center"/>
            <w:hideMark/>
          </w:tcPr>
          <w:p w14:paraId="633BD6B2" w14:textId="77777777" w:rsidR="00847F65" w:rsidRPr="00847F65" w:rsidRDefault="00847F65" w:rsidP="00090E3A">
            <w:pPr>
              <w:jc w:val="center"/>
              <w:rPr>
                <w:color w:val="000000"/>
                <w:sz w:val="20"/>
                <w:szCs w:val="20"/>
              </w:rPr>
            </w:pPr>
            <w:r w:rsidRPr="00847F65">
              <w:rPr>
                <w:color w:val="000000"/>
                <w:sz w:val="20"/>
                <w:szCs w:val="20"/>
              </w:rPr>
              <w:t>Containerizable</w:t>
            </w:r>
          </w:p>
        </w:tc>
        <w:tc>
          <w:tcPr>
            <w:tcW w:w="1742" w:type="dxa"/>
            <w:tcBorders>
              <w:top w:val="nil"/>
              <w:left w:val="nil"/>
              <w:bottom w:val="single" w:sz="4" w:space="0" w:color="auto"/>
              <w:right w:val="nil"/>
            </w:tcBorders>
            <w:shd w:val="clear" w:color="auto" w:fill="auto"/>
            <w:noWrap/>
            <w:vAlign w:val="center"/>
            <w:hideMark/>
          </w:tcPr>
          <w:p w14:paraId="09A86147" w14:textId="77777777" w:rsidR="00847F65" w:rsidRPr="00847F65" w:rsidRDefault="00847F65" w:rsidP="00090E3A">
            <w:pPr>
              <w:jc w:val="center"/>
              <w:rPr>
                <w:color w:val="000000"/>
                <w:sz w:val="20"/>
                <w:szCs w:val="20"/>
              </w:rPr>
            </w:pPr>
            <w:r w:rsidRPr="00847F65">
              <w:rPr>
                <w:color w:val="000000"/>
                <w:sz w:val="20"/>
                <w:szCs w:val="20"/>
              </w:rPr>
              <w:t>Containerizable</w:t>
            </w:r>
          </w:p>
        </w:tc>
        <w:tc>
          <w:tcPr>
            <w:tcW w:w="1415" w:type="dxa"/>
            <w:tcBorders>
              <w:top w:val="nil"/>
              <w:left w:val="nil"/>
              <w:bottom w:val="single" w:sz="4" w:space="0" w:color="auto"/>
            </w:tcBorders>
            <w:shd w:val="clear" w:color="auto" w:fill="auto"/>
            <w:noWrap/>
            <w:vAlign w:val="center"/>
            <w:hideMark/>
          </w:tcPr>
          <w:p w14:paraId="1BA8A8E0" w14:textId="77777777" w:rsidR="00847F65" w:rsidRPr="00847F65" w:rsidRDefault="00847F65" w:rsidP="00090E3A">
            <w:pPr>
              <w:jc w:val="center"/>
              <w:rPr>
                <w:color w:val="000000"/>
                <w:sz w:val="20"/>
                <w:szCs w:val="20"/>
              </w:rPr>
            </w:pPr>
            <w:r w:rsidRPr="00847F65">
              <w:rPr>
                <w:color w:val="000000"/>
                <w:sz w:val="20"/>
                <w:szCs w:val="20"/>
              </w:rPr>
              <w:t>All industries</w:t>
            </w:r>
          </w:p>
        </w:tc>
        <w:tc>
          <w:tcPr>
            <w:tcW w:w="1742" w:type="dxa"/>
            <w:tcBorders>
              <w:top w:val="nil"/>
              <w:bottom w:val="single" w:sz="4" w:space="0" w:color="auto"/>
              <w:right w:val="nil"/>
            </w:tcBorders>
            <w:shd w:val="clear" w:color="auto" w:fill="auto"/>
            <w:noWrap/>
            <w:vAlign w:val="center"/>
            <w:hideMark/>
          </w:tcPr>
          <w:p w14:paraId="3063692D" w14:textId="77777777" w:rsidR="00847F65" w:rsidRPr="00847F65" w:rsidRDefault="00847F65" w:rsidP="00090E3A">
            <w:pPr>
              <w:jc w:val="center"/>
              <w:rPr>
                <w:color w:val="000000"/>
                <w:sz w:val="20"/>
                <w:szCs w:val="20"/>
              </w:rPr>
            </w:pPr>
            <w:r w:rsidRPr="00847F65">
              <w:rPr>
                <w:color w:val="000000"/>
                <w:sz w:val="20"/>
                <w:szCs w:val="20"/>
              </w:rPr>
              <w:t>Containerizable</w:t>
            </w:r>
          </w:p>
        </w:tc>
        <w:tc>
          <w:tcPr>
            <w:tcW w:w="1407" w:type="dxa"/>
            <w:tcBorders>
              <w:top w:val="nil"/>
              <w:left w:val="nil"/>
              <w:bottom w:val="single" w:sz="4" w:space="0" w:color="auto"/>
              <w:right w:val="nil"/>
            </w:tcBorders>
            <w:shd w:val="clear" w:color="auto" w:fill="auto"/>
            <w:noWrap/>
            <w:vAlign w:val="center"/>
            <w:hideMark/>
          </w:tcPr>
          <w:p w14:paraId="70C6A7FB" w14:textId="77777777" w:rsidR="00847F65" w:rsidRPr="00847F65" w:rsidRDefault="00847F65" w:rsidP="00090E3A">
            <w:pPr>
              <w:jc w:val="center"/>
              <w:rPr>
                <w:color w:val="000000"/>
                <w:sz w:val="20"/>
                <w:szCs w:val="20"/>
              </w:rPr>
            </w:pPr>
            <w:r w:rsidRPr="00847F65">
              <w:rPr>
                <w:color w:val="000000"/>
                <w:sz w:val="20"/>
                <w:szCs w:val="20"/>
              </w:rPr>
              <w:t>All industries</w:t>
            </w:r>
          </w:p>
        </w:tc>
      </w:tr>
      <w:tr w:rsidR="00847F65" w:rsidRPr="00847F65" w14:paraId="2E7882F0" w14:textId="77777777" w:rsidTr="00090E3A">
        <w:trPr>
          <w:trHeight w:val="300"/>
        </w:trPr>
        <w:tc>
          <w:tcPr>
            <w:tcW w:w="2142" w:type="dxa"/>
            <w:tcBorders>
              <w:top w:val="nil"/>
              <w:left w:val="nil"/>
              <w:bottom w:val="nil"/>
              <w:right w:val="nil"/>
            </w:tcBorders>
            <w:shd w:val="clear" w:color="auto" w:fill="auto"/>
            <w:noWrap/>
            <w:vAlign w:val="center"/>
            <w:hideMark/>
          </w:tcPr>
          <w:p w14:paraId="4A847894" w14:textId="77777777" w:rsidR="00847F65" w:rsidRPr="00847F65" w:rsidRDefault="00847F65" w:rsidP="00090E3A">
            <w:pPr>
              <w:jc w:val="center"/>
              <w:rPr>
                <w:color w:val="000000"/>
                <w:sz w:val="20"/>
                <w:szCs w:val="20"/>
              </w:rPr>
            </w:pPr>
            <m:oMathPara>
              <m:oMathParaPr>
                <m:jc m:val="left"/>
              </m:oMathParaPr>
              <m:oMath>
                <m:r>
                  <m:rPr>
                    <m:sty m:val="p"/>
                  </m:rPr>
                  <w:rPr>
                    <w:rFonts w:ascii="Cambria Math" w:hAnsi="Cambria Math"/>
                    <w:color w:val="000000"/>
                    <w:sz w:val="20"/>
                    <w:szCs w:val="20"/>
                  </w:rPr>
                  <m:t xml:space="preserve">∆ </m:t>
                </m:r>
                <m:sSub>
                  <m:sSubPr>
                    <m:ctrlPr>
                      <w:rPr>
                        <w:rFonts w:ascii="Cambria Math" w:hAnsi="Cambria Math"/>
                        <w:color w:val="000000"/>
                        <w:sz w:val="20"/>
                        <w:szCs w:val="20"/>
                      </w:rPr>
                    </m:ctrlPr>
                  </m:sSubPr>
                  <m:e>
                    <m:r>
                      <m:rPr>
                        <m:sty m:val="p"/>
                      </m:rPr>
                      <w:rPr>
                        <w:rFonts w:ascii="Cambria Math" w:hAnsi="Cambria Math"/>
                        <w:color w:val="000000"/>
                        <w:sz w:val="20"/>
                        <w:szCs w:val="20"/>
                      </w:rPr>
                      <m:t>full cont</m:t>
                    </m:r>
                  </m:e>
                  <m:sub>
                    <m:r>
                      <m:rPr>
                        <m:sty m:val="p"/>
                      </m:rPr>
                      <w:rPr>
                        <w:rFonts w:ascii="Cambria Math" w:hAnsi="Cambria Math"/>
                        <w:color w:val="000000"/>
                        <w:sz w:val="20"/>
                        <w:szCs w:val="20"/>
                      </w:rPr>
                      <m:t>ij,t</m:t>
                    </m:r>
                  </m:sub>
                </m:sSub>
              </m:oMath>
            </m:oMathPara>
          </w:p>
        </w:tc>
        <w:tc>
          <w:tcPr>
            <w:tcW w:w="1742" w:type="dxa"/>
            <w:tcBorders>
              <w:top w:val="nil"/>
              <w:left w:val="nil"/>
              <w:bottom w:val="nil"/>
              <w:right w:val="nil"/>
            </w:tcBorders>
            <w:shd w:val="clear" w:color="auto" w:fill="auto"/>
            <w:noWrap/>
            <w:vAlign w:val="center"/>
            <w:hideMark/>
          </w:tcPr>
          <w:p w14:paraId="5712A406" w14:textId="77777777" w:rsidR="00847F65" w:rsidRPr="00847F65" w:rsidRDefault="00847F65" w:rsidP="00090E3A">
            <w:pPr>
              <w:jc w:val="center"/>
              <w:rPr>
                <w:color w:val="000000"/>
                <w:sz w:val="20"/>
                <w:szCs w:val="20"/>
              </w:rPr>
            </w:pPr>
            <w:r w:rsidRPr="00847F65">
              <w:rPr>
                <w:color w:val="000000"/>
                <w:sz w:val="20"/>
                <w:szCs w:val="20"/>
              </w:rPr>
              <w:t>1.436***</w:t>
            </w:r>
          </w:p>
        </w:tc>
        <w:tc>
          <w:tcPr>
            <w:tcW w:w="1742" w:type="dxa"/>
            <w:tcBorders>
              <w:top w:val="nil"/>
              <w:left w:val="nil"/>
              <w:bottom w:val="nil"/>
              <w:right w:val="nil"/>
            </w:tcBorders>
            <w:shd w:val="clear" w:color="auto" w:fill="auto"/>
            <w:noWrap/>
            <w:vAlign w:val="center"/>
            <w:hideMark/>
          </w:tcPr>
          <w:p w14:paraId="012B675B" w14:textId="77777777" w:rsidR="00847F65" w:rsidRPr="00847F65" w:rsidRDefault="00847F65" w:rsidP="00090E3A">
            <w:pPr>
              <w:jc w:val="center"/>
              <w:rPr>
                <w:color w:val="000000"/>
                <w:sz w:val="20"/>
                <w:szCs w:val="20"/>
              </w:rPr>
            </w:pPr>
            <w:r w:rsidRPr="00847F65">
              <w:rPr>
                <w:color w:val="000000"/>
                <w:sz w:val="20"/>
                <w:szCs w:val="20"/>
              </w:rPr>
              <w:t>1.437***</w:t>
            </w:r>
          </w:p>
        </w:tc>
        <w:tc>
          <w:tcPr>
            <w:tcW w:w="1415" w:type="dxa"/>
            <w:tcBorders>
              <w:top w:val="nil"/>
              <w:left w:val="nil"/>
              <w:bottom w:val="nil"/>
              <w:right w:val="nil"/>
            </w:tcBorders>
            <w:shd w:val="clear" w:color="auto" w:fill="auto"/>
            <w:noWrap/>
            <w:vAlign w:val="center"/>
            <w:hideMark/>
          </w:tcPr>
          <w:p w14:paraId="7928B41E" w14:textId="77777777" w:rsidR="00847F65" w:rsidRPr="00847F65" w:rsidRDefault="00847F65" w:rsidP="00090E3A">
            <w:pPr>
              <w:jc w:val="center"/>
              <w:rPr>
                <w:color w:val="000000"/>
                <w:sz w:val="20"/>
                <w:szCs w:val="20"/>
              </w:rPr>
            </w:pPr>
            <w:r w:rsidRPr="00847F65">
              <w:rPr>
                <w:color w:val="000000"/>
                <w:sz w:val="20"/>
                <w:szCs w:val="20"/>
              </w:rPr>
              <w:t>1.263***</w:t>
            </w:r>
          </w:p>
        </w:tc>
        <w:tc>
          <w:tcPr>
            <w:tcW w:w="1742" w:type="dxa"/>
            <w:tcBorders>
              <w:top w:val="nil"/>
              <w:left w:val="single" w:sz="4" w:space="0" w:color="auto"/>
              <w:bottom w:val="nil"/>
              <w:right w:val="nil"/>
            </w:tcBorders>
            <w:shd w:val="clear" w:color="auto" w:fill="auto"/>
            <w:noWrap/>
            <w:vAlign w:val="center"/>
            <w:hideMark/>
          </w:tcPr>
          <w:p w14:paraId="2992ED98" w14:textId="77777777" w:rsidR="00847F65" w:rsidRPr="00847F65" w:rsidRDefault="00847F65" w:rsidP="00090E3A">
            <w:pPr>
              <w:jc w:val="center"/>
              <w:rPr>
                <w:color w:val="000000"/>
                <w:sz w:val="20"/>
                <w:szCs w:val="20"/>
              </w:rPr>
            </w:pPr>
            <w:r w:rsidRPr="00847F65">
              <w:rPr>
                <w:color w:val="000000"/>
                <w:sz w:val="20"/>
                <w:szCs w:val="20"/>
              </w:rPr>
              <w:t>1.612***</w:t>
            </w:r>
          </w:p>
        </w:tc>
        <w:tc>
          <w:tcPr>
            <w:tcW w:w="1407" w:type="dxa"/>
            <w:tcBorders>
              <w:top w:val="nil"/>
              <w:left w:val="nil"/>
              <w:bottom w:val="nil"/>
              <w:right w:val="nil"/>
            </w:tcBorders>
            <w:shd w:val="clear" w:color="auto" w:fill="auto"/>
            <w:noWrap/>
            <w:vAlign w:val="center"/>
            <w:hideMark/>
          </w:tcPr>
          <w:p w14:paraId="04B1A7A1" w14:textId="77777777" w:rsidR="00847F65" w:rsidRPr="00847F65" w:rsidRDefault="00847F65" w:rsidP="00090E3A">
            <w:pPr>
              <w:jc w:val="center"/>
              <w:rPr>
                <w:color w:val="000000"/>
                <w:sz w:val="20"/>
                <w:szCs w:val="20"/>
              </w:rPr>
            </w:pPr>
            <w:r w:rsidRPr="00847F65">
              <w:rPr>
                <w:color w:val="000000"/>
                <w:sz w:val="20"/>
                <w:szCs w:val="20"/>
              </w:rPr>
              <w:t>1.351***</w:t>
            </w:r>
          </w:p>
        </w:tc>
      </w:tr>
      <w:tr w:rsidR="00847F65" w:rsidRPr="00847F65" w14:paraId="6DC27D76" w14:textId="77777777" w:rsidTr="00090E3A">
        <w:trPr>
          <w:trHeight w:val="300"/>
        </w:trPr>
        <w:tc>
          <w:tcPr>
            <w:tcW w:w="2142" w:type="dxa"/>
            <w:tcBorders>
              <w:top w:val="nil"/>
              <w:left w:val="nil"/>
              <w:bottom w:val="nil"/>
              <w:right w:val="nil"/>
            </w:tcBorders>
            <w:shd w:val="clear" w:color="auto" w:fill="auto"/>
            <w:noWrap/>
            <w:vAlign w:val="center"/>
            <w:hideMark/>
          </w:tcPr>
          <w:p w14:paraId="6043F48C" w14:textId="77777777" w:rsidR="00847F65" w:rsidRPr="00847F65" w:rsidRDefault="00847F65" w:rsidP="00090E3A">
            <w:pPr>
              <w:jc w:val="center"/>
              <w:rPr>
                <w:color w:val="000000"/>
                <w:sz w:val="20"/>
                <w:szCs w:val="20"/>
              </w:rPr>
            </w:pPr>
          </w:p>
        </w:tc>
        <w:tc>
          <w:tcPr>
            <w:tcW w:w="1742" w:type="dxa"/>
            <w:tcBorders>
              <w:top w:val="nil"/>
              <w:left w:val="nil"/>
              <w:bottom w:val="nil"/>
              <w:right w:val="nil"/>
            </w:tcBorders>
            <w:shd w:val="clear" w:color="auto" w:fill="auto"/>
            <w:noWrap/>
            <w:vAlign w:val="center"/>
            <w:hideMark/>
          </w:tcPr>
          <w:p w14:paraId="2A098404" w14:textId="77777777" w:rsidR="00847F65" w:rsidRPr="00847F65" w:rsidRDefault="00847F65" w:rsidP="00090E3A">
            <w:pPr>
              <w:jc w:val="center"/>
              <w:rPr>
                <w:color w:val="000000"/>
                <w:sz w:val="20"/>
                <w:szCs w:val="20"/>
              </w:rPr>
            </w:pPr>
            <w:r w:rsidRPr="00847F65">
              <w:rPr>
                <w:color w:val="000000"/>
                <w:sz w:val="20"/>
                <w:szCs w:val="20"/>
              </w:rPr>
              <w:t>(0.106)</w:t>
            </w:r>
          </w:p>
        </w:tc>
        <w:tc>
          <w:tcPr>
            <w:tcW w:w="1742" w:type="dxa"/>
            <w:tcBorders>
              <w:top w:val="nil"/>
              <w:left w:val="nil"/>
              <w:bottom w:val="nil"/>
              <w:right w:val="nil"/>
            </w:tcBorders>
            <w:shd w:val="clear" w:color="auto" w:fill="auto"/>
            <w:noWrap/>
            <w:vAlign w:val="center"/>
            <w:hideMark/>
          </w:tcPr>
          <w:p w14:paraId="4A1A492C" w14:textId="77777777" w:rsidR="00847F65" w:rsidRPr="00847F65" w:rsidRDefault="00847F65" w:rsidP="00090E3A">
            <w:pPr>
              <w:jc w:val="center"/>
              <w:rPr>
                <w:color w:val="000000"/>
                <w:sz w:val="20"/>
                <w:szCs w:val="20"/>
              </w:rPr>
            </w:pPr>
            <w:r w:rsidRPr="00847F65">
              <w:rPr>
                <w:color w:val="000000"/>
                <w:sz w:val="20"/>
                <w:szCs w:val="20"/>
              </w:rPr>
              <w:t>(0.106)</w:t>
            </w:r>
          </w:p>
        </w:tc>
        <w:tc>
          <w:tcPr>
            <w:tcW w:w="1415" w:type="dxa"/>
            <w:tcBorders>
              <w:top w:val="nil"/>
              <w:left w:val="nil"/>
              <w:bottom w:val="nil"/>
              <w:right w:val="nil"/>
            </w:tcBorders>
            <w:shd w:val="clear" w:color="auto" w:fill="auto"/>
            <w:noWrap/>
            <w:vAlign w:val="center"/>
            <w:hideMark/>
          </w:tcPr>
          <w:p w14:paraId="6D75EDE8" w14:textId="77777777" w:rsidR="00847F65" w:rsidRPr="00847F65" w:rsidRDefault="00847F65" w:rsidP="00090E3A">
            <w:pPr>
              <w:jc w:val="center"/>
              <w:rPr>
                <w:color w:val="000000"/>
                <w:sz w:val="20"/>
                <w:szCs w:val="20"/>
              </w:rPr>
            </w:pPr>
            <w:r w:rsidRPr="00847F65">
              <w:rPr>
                <w:color w:val="000000"/>
                <w:sz w:val="20"/>
                <w:szCs w:val="20"/>
              </w:rPr>
              <w:t>(0.0926)</w:t>
            </w:r>
          </w:p>
        </w:tc>
        <w:tc>
          <w:tcPr>
            <w:tcW w:w="1742" w:type="dxa"/>
            <w:tcBorders>
              <w:top w:val="nil"/>
              <w:left w:val="single" w:sz="4" w:space="0" w:color="auto"/>
              <w:bottom w:val="nil"/>
              <w:right w:val="nil"/>
            </w:tcBorders>
            <w:shd w:val="clear" w:color="auto" w:fill="auto"/>
            <w:noWrap/>
            <w:vAlign w:val="center"/>
            <w:hideMark/>
          </w:tcPr>
          <w:p w14:paraId="6034BDB6" w14:textId="77777777" w:rsidR="00847F65" w:rsidRPr="00847F65" w:rsidRDefault="00847F65" w:rsidP="00090E3A">
            <w:pPr>
              <w:jc w:val="center"/>
              <w:rPr>
                <w:color w:val="000000"/>
                <w:sz w:val="20"/>
                <w:szCs w:val="20"/>
              </w:rPr>
            </w:pPr>
            <w:r w:rsidRPr="00847F65">
              <w:rPr>
                <w:color w:val="000000"/>
                <w:sz w:val="20"/>
                <w:szCs w:val="20"/>
              </w:rPr>
              <w:t>(0.112)</w:t>
            </w:r>
          </w:p>
        </w:tc>
        <w:tc>
          <w:tcPr>
            <w:tcW w:w="1407" w:type="dxa"/>
            <w:tcBorders>
              <w:top w:val="nil"/>
              <w:left w:val="nil"/>
              <w:bottom w:val="nil"/>
              <w:right w:val="nil"/>
            </w:tcBorders>
            <w:shd w:val="clear" w:color="auto" w:fill="auto"/>
            <w:noWrap/>
            <w:vAlign w:val="center"/>
            <w:hideMark/>
          </w:tcPr>
          <w:p w14:paraId="625EE6A0" w14:textId="77777777" w:rsidR="00847F65" w:rsidRPr="00847F65" w:rsidRDefault="00847F65" w:rsidP="00090E3A">
            <w:pPr>
              <w:jc w:val="center"/>
              <w:rPr>
                <w:color w:val="000000"/>
                <w:sz w:val="20"/>
                <w:szCs w:val="20"/>
              </w:rPr>
            </w:pPr>
            <w:r w:rsidRPr="00847F65">
              <w:rPr>
                <w:color w:val="000000"/>
                <w:sz w:val="20"/>
                <w:szCs w:val="20"/>
              </w:rPr>
              <w:t>(0.0975)</w:t>
            </w:r>
          </w:p>
        </w:tc>
      </w:tr>
      <w:tr w:rsidR="00847F65" w:rsidRPr="00847F65" w14:paraId="457C995A" w14:textId="77777777" w:rsidTr="00090E3A">
        <w:trPr>
          <w:trHeight w:val="300"/>
        </w:trPr>
        <w:tc>
          <w:tcPr>
            <w:tcW w:w="2142" w:type="dxa"/>
            <w:tcBorders>
              <w:top w:val="nil"/>
              <w:left w:val="nil"/>
              <w:bottom w:val="nil"/>
              <w:right w:val="nil"/>
            </w:tcBorders>
            <w:shd w:val="clear" w:color="auto" w:fill="auto"/>
            <w:noWrap/>
            <w:vAlign w:val="center"/>
            <w:hideMark/>
          </w:tcPr>
          <w:p w14:paraId="595402F0" w14:textId="77777777" w:rsidR="00847F65" w:rsidRPr="00847F65" w:rsidRDefault="00847F65" w:rsidP="00090E3A">
            <w:pPr>
              <w:jc w:val="center"/>
              <w:rPr>
                <w:color w:val="000000"/>
                <w:sz w:val="20"/>
                <w:szCs w:val="20"/>
              </w:rPr>
            </w:pPr>
            <m:oMathPara>
              <m:oMathParaPr>
                <m:jc m:val="left"/>
              </m:oMathParaPr>
              <m:oMath>
                <m:r>
                  <m:rPr>
                    <m:sty m:val="p"/>
                  </m:rPr>
                  <w:rPr>
                    <w:rFonts w:ascii="Cambria Math" w:hAnsi="Cambria Math"/>
                    <w:color w:val="000000"/>
                    <w:sz w:val="20"/>
                    <w:szCs w:val="20"/>
                  </w:rPr>
                  <m:t xml:space="preserve">∆ </m:t>
                </m:r>
                <m:sSub>
                  <m:sSubPr>
                    <m:ctrlPr>
                      <w:rPr>
                        <w:rFonts w:ascii="Cambria Math" w:hAnsi="Cambria Math"/>
                        <w:color w:val="000000"/>
                        <w:sz w:val="20"/>
                        <w:szCs w:val="20"/>
                      </w:rPr>
                    </m:ctrlPr>
                  </m:sSubPr>
                  <m:e>
                    <m:r>
                      <m:rPr>
                        <m:sty m:val="p"/>
                      </m:rPr>
                      <w:rPr>
                        <w:rFonts w:ascii="Cambria Math" w:hAnsi="Cambria Math"/>
                        <w:color w:val="000000"/>
                        <w:sz w:val="20"/>
                        <w:szCs w:val="20"/>
                      </w:rPr>
                      <m:t>full cont</m:t>
                    </m:r>
                  </m:e>
                  <m:sub>
                    <m:r>
                      <m:rPr>
                        <m:sty m:val="p"/>
                      </m:rPr>
                      <w:rPr>
                        <w:rFonts w:ascii="Cambria Math" w:hAnsi="Cambria Math"/>
                        <w:color w:val="000000"/>
                        <w:sz w:val="20"/>
                        <w:szCs w:val="20"/>
                      </w:rPr>
                      <m:t>ij,t-1</m:t>
                    </m:r>
                  </m:sub>
                </m:sSub>
              </m:oMath>
            </m:oMathPara>
          </w:p>
        </w:tc>
        <w:tc>
          <w:tcPr>
            <w:tcW w:w="1742" w:type="dxa"/>
            <w:tcBorders>
              <w:top w:val="nil"/>
              <w:left w:val="nil"/>
              <w:bottom w:val="nil"/>
              <w:right w:val="nil"/>
            </w:tcBorders>
            <w:shd w:val="clear" w:color="auto" w:fill="auto"/>
            <w:noWrap/>
            <w:vAlign w:val="center"/>
            <w:hideMark/>
          </w:tcPr>
          <w:p w14:paraId="0701A0C2" w14:textId="77777777" w:rsidR="00847F65" w:rsidRPr="00847F65" w:rsidRDefault="00847F65" w:rsidP="00090E3A">
            <w:pPr>
              <w:jc w:val="center"/>
              <w:rPr>
                <w:color w:val="000000"/>
                <w:sz w:val="20"/>
                <w:szCs w:val="20"/>
              </w:rPr>
            </w:pPr>
            <w:r w:rsidRPr="00847F65">
              <w:rPr>
                <w:color w:val="000000"/>
                <w:sz w:val="20"/>
                <w:szCs w:val="20"/>
              </w:rPr>
              <w:t>1.199***</w:t>
            </w:r>
          </w:p>
        </w:tc>
        <w:tc>
          <w:tcPr>
            <w:tcW w:w="1742" w:type="dxa"/>
            <w:tcBorders>
              <w:top w:val="nil"/>
              <w:left w:val="nil"/>
              <w:bottom w:val="nil"/>
              <w:right w:val="nil"/>
            </w:tcBorders>
            <w:shd w:val="clear" w:color="auto" w:fill="auto"/>
            <w:noWrap/>
            <w:vAlign w:val="center"/>
            <w:hideMark/>
          </w:tcPr>
          <w:p w14:paraId="6480F7B5" w14:textId="77777777" w:rsidR="00847F65" w:rsidRPr="00847F65" w:rsidRDefault="00847F65" w:rsidP="00090E3A">
            <w:pPr>
              <w:jc w:val="center"/>
              <w:rPr>
                <w:color w:val="000000"/>
                <w:sz w:val="20"/>
                <w:szCs w:val="20"/>
              </w:rPr>
            </w:pPr>
            <w:r w:rsidRPr="00847F65">
              <w:rPr>
                <w:color w:val="000000"/>
                <w:sz w:val="20"/>
                <w:szCs w:val="20"/>
              </w:rPr>
              <w:t>1.197***</w:t>
            </w:r>
          </w:p>
        </w:tc>
        <w:tc>
          <w:tcPr>
            <w:tcW w:w="1415" w:type="dxa"/>
            <w:tcBorders>
              <w:top w:val="nil"/>
              <w:left w:val="nil"/>
              <w:bottom w:val="nil"/>
              <w:right w:val="nil"/>
            </w:tcBorders>
            <w:shd w:val="clear" w:color="auto" w:fill="auto"/>
            <w:noWrap/>
            <w:vAlign w:val="center"/>
            <w:hideMark/>
          </w:tcPr>
          <w:p w14:paraId="42ABD4AA" w14:textId="77777777" w:rsidR="00847F65" w:rsidRPr="00847F65" w:rsidRDefault="00847F65" w:rsidP="00090E3A">
            <w:pPr>
              <w:jc w:val="center"/>
              <w:rPr>
                <w:color w:val="000000"/>
                <w:sz w:val="20"/>
                <w:szCs w:val="20"/>
              </w:rPr>
            </w:pPr>
            <w:r w:rsidRPr="00847F65">
              <w:rPr>
                <w:color w:val="000000"/>
                <w:sz w:val="20"/>
                <w:szCs w:val="20"/>
              </w:rPr>
              <w:t>1.102***</w:t>
            </w:r>
          </w:p>
        </w:tc>
        <w:tc>
          <w:tcPr>
            <w:tcW w:w="1742" w:type="dxa"/>
            <w:tcBorders>
              <w:top w:val="nil"/>
              <w:left w:val="single" w:sz="4" w:space="0" w:color="auto"/>
              <w:bottom w:val="nil"/>
              <w:right w:val="nil"/>
            </w:tcBorders>
            <w:shd w:val="clear" w:color="auto" w:fill="auto"/>
            <w:noWrap/>
            <w:vAlign w:val="center"/>
            <w:hideMark/>
          </w:tcPr>
          <w:p w14:paraId="550A458A" w14:textId="77777777" w:rsidR="00847F65" w:rsidRPr="00847F65" w:rsidRDefault="00847F65" w:rsidP="00090E3A">
            <w:pPr>
              <w:jc w:val="center"/>
              <w:rPr>
                <w:color w:val="000000"/>
                <w:sz w:val="20"/>
                <w:szCs w:val="20"/>
              </w:rPr>
            </w:pPr>
            <w:r w:rsidRPr="00847F65">
              <w:rPr>
                <w:color w:val="000000"/>
                <w:sz w:val="20"/>
                <w:szCs w:val="20"/>
              </w:rPr>
              <w:t>1.302***</w:t>
            </w:r>
          </w:p>
        </w:tc>
        <w:tc>
          <w:tcPr>
            <w:tcW w:w="1407" w:type="dxa"/>
            <w:tcBorders>
              <w:top w:val="nil"/>
              <w:left w:val="nil"/>
              <w:bottom w:val="nil"/>
              <w:right w:val="nil"/>
            </w:tcBorders>
            <w:shd w:val="clear" w:color="auto" w:fill="auto"/>
            <w:noWrap/>
            <w:vAlign w:val="center"/>
            <w:hideMark/>
          </w:tcPr>
          <w:p w14:paraId="061A996D" w14:textId="77777777" w:rsidR="00847F65" w:rsidRPr="00847F65" w:rsidRDefault="00847F65" w:rsidP="00090E3A">
            <w:pPr>
              <w:jc w:val="center"/>
              <w:rPr>
                <w:color w:val="000000"/>
                <w:sz w:val="20"/>
                <w:szCs w:val="20"/>
              </w:rPr>
            </w:pPr>
            <w:r w:rsidRPr="00847F65">
              <w:rPr>
                <w:color w:val="000000"/>
                <w:sz w:val="20"/>
                <w:szCs w:val="20"/>
              </w:rPr>
              <w:t>1.145***</w:t>
            </w:r>
          </w:p>
        </w:tc>
      </w:tr>
      <w:tr w:rsidR="00847F65" w:rsidRPr="00847F65" w14:paraId="1D9853AF" w14:textId="77777777" w:rsidTr="00090E3A">
        <w:trPr>
          <w:trHeight w:val="300"/>
        </w:trPr>
        <w:tc>
          <w:tcPr>
            <w:tcW w:w="2142" w:type="dxa"/>
            <w:tcBorders>
              <w:top w:val="nil"/>
              <w:left w:val="nil"/>
              <w:bottom w:val="nil"/>
              <w:right w:val="nil"/>
            </w:tcBorders>
            <w:shd w:val="clear" w:color="auto" w:fill="auto"/>
            <w:noWrap/>
            <w:vAlign w:val="center"/>
            <w:hideMark/>
          </w:tcPr>
          <w:p w14:paraId="5813F8B8" w14:textId="77777777" w:rsidR="00847F65" w:rsidRPr="00847F65" w:rsidRDefault="00847F65" w:rsidP="00090E3A">
            <w:pPr>
              <w:jc w:val="center"/>
              <w:rPr>
                <w:color w:val="000000"/>
                <w:sz w:val="20"/>
                <w:szCs w:val="20"/>
              </w:rPr>
            </w:pPr>
          </w:p>
        </w:tc>
        <w:tc>
          <w:tcPr>
            <w:tcW w:w="1742" w:type="dxa"/>
            <w:tcBorders>
              <w:top w:val="nil"/>
              <w:left w:val="nil"/>
              <w:bottom w:val="nil"/>
              <w:right w:val="nil"/>
            </w:tcBorders>
            <w:shd w:val="clear" w:color="auto" w:fill="auto"/>
            <w:noWrap/>
            <w:vAlign w:val="center"/>
            <w:hideMark/>
          </w:tcPr>
          <w:p w14:paraId="1139A1AF" w14:textId="77777777" w:rsidR="00847F65" w:rsidRPr="00847F65" w:rsidRDefault="00847F65" w:rsidP="00090E3A">
            <w:pPr>
              <w:jc w:val="center"/>
              <w:rPr>
                <w:color w:val="000000"/>
                <w:sz w:val="20"/>
                <w:szCs w:val="20"/>
              </w:rPr>
            </w:pPr>
            <w:r w:rsidRPr="00847F65">
              <w:rPr>
                <w:color w:val="000000"/>
                <w:sz w:val="20"/>
                <w:szCs w:val="20"/>
              </w:rPr>
              <w:t>(0.0817)</w:t>
            </w:r>
          </w:p>
        </w:tc>
        <w:tc>
          <w:tcPr>
            <w:tcW w:w="1742" w:type="dxa"/>
            <w:tcBorders>
              <w:top w:val="nil"/>
              <w:left w:val="nil"/>
              <w:bottom w:val="nil"/>
              <w:right w:val="nil"/>
            </w:tcBorders>
            <w:shd w:val="clear" w:color="auto" w:fill="auto"/>
            <w:noWrap/>
            <w:vAlign w:val="center"/>
            <w:hideMark/>
          </w:tcPr>
          <w:p w14:paraId="6AFC6D32" w14:textId="77777777" w:rsidR="00847F65" w:rsidRPr="00847F65" w:rsidRDefault="00847F65" w:rsidP="00090E3A">
            <w:pPr>
              <w:jc w:val="center"/>
              <w:rPr>
                <w:color w:val="000000"/>
                <w:sz w:val="20"/>
                <w:szCs w:val="20"/>
              </w:rPr>
            </w:pPr>
            <w:r w:rsidRPr="00847F65">
              <w:rPr>
                <w:color w:val="000000"/>
                <w:sz w:val="20"/>
                <w:szCs w:val="20"/>
              </w:rPr>
              <w:t>(0.0817)</w:t>
            </w:r>
          </w:p>
        </w:tc>
        <w:tc>
          <w:tcPr>
            <w:tcW w:w="1415" w:type="dxa"/>
            <w:tcBorders>
              <w:top w:val="nil"/>
              <w:left w:val="nil"/>
              <w:bottom w:val="nil"/>
              <w:right w:val="nil"/>
            </w:tcBorders>
            <w:shd w:val="clear" w:color="auto" w:fill="auto"/>
            <w:noWrap/>
            <w:vAlign w:val="center"/>
            <w:hideMark/>
          </w:tcPr>
          <w:p w14:paraId="70F600F6" w14:textId="77777777" w:rsidR="00847F65" w:rsidRPr="00847F65" w:rsidRDefault="00847F65" w:rsidP="00090E3A">
            <w:pPr>
              <w:jc w:val="center"/>
              <w:rPr>
                <w:color w:val="000000"/>
                <w:sz w:val="20"/>
                <w:szCs w:val="20"/>
              </w:rPr>
            </w:pPr>
            <w:r w:rsidRPr="00847F65">
              <w:rPr>
                <w:color w:val="000000"/>
                <w:sz w:val="20"/>
                <w:szCs w:val="20"/>
              </w:rPr>
              <w:t>(0.0708)</w:t>
            </w:r>
          </w:p>
        </w:tc>
        <w:tc>
          <w:tcPr>
            <w:tcW w:w="1742" w:type="dxa"/>
            <w:tcBorders>
              <w:top w:val="nil"/>
              <w:left w:val="single" w:sz="4" w:space="0" w:color="auto"/>
              <w:bottom w:val="nil"/>
              <w:right w:val="nil"/>
            </w:tcBorders>
            <w:shd w:val="clear" w:color="auto" w:fill="auto"/>
            <w:noWrap/>
            <w:vAlign w:val="center"/>
            <w:hideMark/>
          </w:tcPr>
          <w:p w14:paraId="288FC97E" w14:textId="77777777" w:rsidR="00847F65" w:rsidRPr="00847F65" w:rsidRDefault="00847F65" w:rsidP="00090E3A">
            <w:pPr>
              <w:jc w:val="center"/>
              <w:rPr>
                <w:color w:val="000000"/>
                <w:sz w:val="20"/>
                <w:szCs w:val="20"/>
              </w:rPr>
            </w:pPr>
            <w:r w:rsidRPr="00847F65">
              <w:rPr>
                <w:color w:val="000000"/>
                <w:sz w:val="20"/>
                <w:szCs w:val="20"/>
              </w:rPr>
              <w:t>(0.0853)</w:t>
            </w:r>
          </w:p>
        </w:tc>
        <w:tc>
          <w:tcPr>
            <w:tcW w:w="1407" w:type="dxa"/>
            <w:tcBorders>
              <w:top w:val="nil"/>
              <w:left w:val="nil"/>
              <w:bottom w:val="nil"/>
              <w:right w:val="nil"/>
            </w:tcBorders>
            <w:shd w:val="clear" w:color="auto" w:fill="auto"/>
            <w:noWrap/>
            <w:vAlign w:val="center"/>
            <w:hideMark/>
          </w:tcPr>
          <w:p w14:paraId="2F319E72" w14:textId="77777777" w:rsidR="00847F65" w:rsidRPr="00847F65" w:rsidRDefault="00847F65" w:rsidP="00090E3A">
            <w:pPr>
              <w:jc w:val="center"/>
              <w:rPr>
                <w:color w:val="000000"/>
                <w:sz w:val="20"/>
                <w:szCs w:val="20"/>
              </w:rPr>
            </w:pPr>
            <w:r w:rsidRPr="00847F65">
              <w:rPr>
                <w:color w:val="000000"/>
                <w:sz w:val="20"/>
                <w:szCs w:val="20"/>
              </w:rPr>
              <w:t>(0.0739)</w:t>
            </w:r>
          </w:p>
        </w:tc>
      </w:tr>
      <w:tr w:rsidR="00847F65" w:rsidRPr="00847F65" w14:paraId="0781DF23" w14:textId="77777777" w:rsidTr="00090E3A">
        <w:trPr>
          <w:trHeight w:val="300"/>
        </w:trPr>
        <w:tc>
          <w:tcPr>
            <w:tcW w:w="2142" w:type="dxa"/>
            <w:tcBorders>
              <w:top w:val="nil"/>
              <w:left w:val="nil"/>
              <w:bottom w:val="nil"/>
              <w:right w:val="nil"/>
            </w:tcBorders>
            <w:shd w:val="clear" w:color="auto" w:fill="auto"/>
            <w:noWrap/>
            <w:vAlign w:val="center"/>
            <w:hideMark/>
          </w:tcPr>
          <w:p w14:paraId="77CF12FF" w14:textId="77777777" w:rsidR="00847F65" w:rsidRPr="00847F65" w:rsidRDefault="00847F65" w:rsidP="00090E3A">
            <w:pPr>
              <w:jc w:val="center"/>
              <w:rPr>
                <w:color w:val="000000"/>
                <w:sz w:val="20"/>
                <w:szCs w:val="20"/>
              </w:rPr>
            </w:pPr>
            <m:oMathPara>
              <m:oMathParaPr>
                <m:jc m:val="left"/>
              </m:oMathParaPr>
              <m:oMath>
                <m:r>
                  <m:rPr>
                    <m:sty m:val="p"/>
                  </m:rPr>
                  <w:rPr>
                    <w:rFonts w:ascii="Cambria Math" w:hAnsi="Cambria Math"/>
                    <w:color w:val="000000"/>
                    <w:sz w:val="20"/>
                    <w:szCs w:val="20"/>
                  </w:rPr>
                  <m:t xml:space="preserve">∆ </m:t>
                </m:r>
                <m:sSub>
                  <m:sSubPr>
                    <m:ctrlPr>
                      <w:rPr>
                        <w:rFonts w:ascii="Cambria Math" w:hAnsi="Cambria Math"/>
                        <w:color w:val="000000"/>
                        <w:sz w:val="20"/>
                        <w:szCs w:val="20"/>
                      </w:rPr>
                    </m:ctrlPr>
                  </m:sSubPr>
                  <m:e>
                    <m:r>
                      <m:rPr>
                        <m:sty m:val="p"/>
                      </m:rPr>
                      <w:rPr>
                        <w:rFonts w:ascii="Cambria Math" w:hAnsi="Cambria Math"/>
                        <w:color w:val="000000"/>
                        <w:sz w:val="20"/>
                        <w:szCs w:val="20"/>
                      </w:rPr>
                      <m:t>full cont</m:t>
                    </m:r>
                  </m:e>
                  <m:sub>
                    <m:r>
                      <m:rPr>
                        <m:sty m:val="p"/>
                      </m:rPr>
                      <w:rPr>
                        <w:rFonts w:ascii="Cambria Math" w:hAnsi="Cambria Math"/>
                        <w:color w:val="000000"/>
                        <w:sz w:val="20"/>
                        <w:szCs w:val="20"/>
                      </w:rPr>
                      <m:t>ij,t-2</m:t>
                    </m:r>
                  </m:sub>
                </m:sSub>
              </m:oMath>
            </m:oMathPara>
          </w:p>
        </w:tc>
        <w:tc>
          <w:tcPr>
            <w:tcW w:w="1742" w:type="dxa"/>
            <w:tcBorders>
              <w:top w:val="nil"/>
              <w:left w:val="nil"/>
              <w:bottom w:val="nil"/>
              <w:right w:val="nil"/>
            </w:tcBorders>
            <w:shd w:val="clear" w:color="auto" w:fill="auto"/>
            <w:noWrap/>
            <w:vAlign w:val="center"/>
            <w:hideMark/>
          </w:tcPr>
          <w:p w14:paraId="5E18CA34" w14:textId="77777777" w:rsidR="00847F65" w:rsidRPr="00847F65" w:rsidRDefault="00847F65" w:rsidP="00090E3A">
            <w:pPr>
              <w:jc w:val="center"/>
              <w:rPr>
                <w:color w:val="000000"/>
                <w:sz w:val="20"/>
                <w:szCs w:val="20"/>
              </w:rPr>
            </w:pPr>
            <w:r w:rsidRPr="00847F65">
              <w:rPr>
                <w:color w:val="000000"/>
                <w:sz w:val="20"/>
                <w:szCs w:val="20"/>
              </w:rPr>
              <w:t>0.939***</w:t>
            </w:r>
          </w:p>
        </w:tc>
        <w:tc>
          <w:tcPr>
            <w:tcW w:w="1742" w:type="dxa"/>
            <w:tcBorders>
              <w:top w:val="nil"/>
              <w:left w:val="nil"/>
              <w:bottom w:val="nil"/>
              <w:right w:val="nil"/>
            </w:tcBorders>
            <w:shd w:val="clear" w:color="auto" w:fill="auto"/>
            <w:noWrap/>
            <w:vAlign w:val="center"/>
            <w:hideMark/>
          </w:tcPr>
          <w:p w14:paraId="7812199C" w14:textId="77777777" w:rsidR="00847F65" w:rsidRPr="00847F65" w:rsidRDefault="00847F65" w:rsidP="00090E3A">
            <w:pPr>
              <w:jc w:val="center"/>
              <w:rPr>
                <w:color w:val="000000"/>
                <w:sz w:val="20"/>
                <w:szCs w:val="20"/>
              </w:rPr>
            </w:pPr>
            <w:r w:rsidRPr="00847F65">
              <w:rPr>
                <w:color w:val="000000"/>
                <w:sz w:val="20"/>
                <w:szCs w:val="20"/>
              </w:rPr>
              <w:t>0.937***</w:t>
            </w:r>
          </w:p>
        </w:tc>
        <w:tc>
          <w:tcPr>
            <w:tcW w:w="1415" w:type="dxa"/>
            <w:tcBorders>
              <w:top w:val="nil"/>
              <w:left w:val="nil"/>
              <w:bottom w:val="nil"/>
              <w:right w:val="nil"/>
            </w:tcBorders>
            <w:shd w:val="clear" w:color="auto" w:fill="auto"/>
            <w:noWrap/>
            <w:vAlign w:val="center"/>
            <w:hideMark/>
          </w:tcPr>
          <w:p w14:paraId="696D6503" w14:textId="77777777" w:rsidR="00847F65" w:rsidRPr="00847F65" w:rsidRDefault="00847F65" w:rsidP="00090E3A">
            <w:pPr>
              <w:jc w:val="center"/>
              <w:rPr>
                <w:color w:val="000000"/>
                <w:sz w:val="20"/>
                <w:szCs w:val="20"/>
              </w:rPr>
            </w:pPr>
            <w:r w:rsidRPr="00847F65">
              <w:rPr>
                <w:color w:val="000000"/>
                <w:sz w:val="20"/>
                <w:szCs w:val="20"/>
              </w:rPr>
              <w:t>0.943***</w:t>
            </w:r>
          </w:p>
        </w:tc>
        <w:tc>
          <w:tcPr>
            <w:tcW w:w="1742" w:type="dxa"/>
            <w:tcBorders>
              <w:top w:val="nil"/>
              <w:left w:val="single" w:sz="4" w:space="0" w:color="auto"/>
              <w:bottom w:val="nil"/>
              <w:right w:val="nil"/>
            </w:tcBorders>
            <w:shd w:val="clear" w:color="auto" w:fill="auto"/>
            <w:noWrap/>
            <w:vAlign w:val="center"/>
            <w:hideMark/>
          </w:tcPr>
          <w:p w14:paraId="24C9214C" w14:textId="77777777" w:rsidR="00847F65" w:rsidRPr="00847F65" w:rsidRDefault="00847F65" w:rsidP="00090E3A">
            <w:pPr>
              <w:jc w:val="center"/>
              <w:rPr>
                <w:color w:val="000000"/>
                <w:sz w:val="20"/>
                <w:szCs w:val="20"/>
              </w:rPr>
            </w:pPr>
            <w:r w:rsidRPr="00847F65">
              <w:rPr>
                <w:color w:val="000000"/>
                <w:sz w:val="20"/>
                <w:szCs w:val="20"/>
              </w:rPr>
              <w:t>0.974***</w:t>
            </w:r>
          </w:p>
        </w:tc>
        <w:tc>
          <w:tcPr>
            <w:tcW w:w="1407" w:type="dxa"/>
            <w:tcBorders>
              <w:top w:val="nil"/>
              <w:left w:val="nil"/>
              <w:bottom w:val="nil"/>
              <w:right w:val="nil"/>
            </w:tcBorders>
            <w:shd w:val="clear" w:color="auto" w:fill="auto"/>
            <w:noWrap/>
            <w:vAlign w:val="center"/>
            <w:hideMark/>
          </w:tcPr>
          <w:p w14:paraId="530F2817" w14:textId="77777777" w:rsidR="00847F65" w:rsidRPr="00847F65" w:rsidRDefault="00847F65" w:rsidP="00090E3A">
            <w:pPr>
              <w:jc w:val="center"/>
              <w:rPr>
                <w:color w:val="000000"/>
                <w:sz w:val="20"/>
                <w:szCs w:val="20"/>
              </w:rPr>
            </w:pPr>
            <w:r w:rsidRPr="00847F65">
              <w:rPr>
                <w:color w:val="000000"/>
                <w:sz w:val="20"/>
                <w:szCs w:val="20"/>
              </w:rPr>
              <w:t>0.971***</w:t>
            </w:r>
          </w:p>
        </w:tc>
      </w:tr>
      <w:tr w:rsidR="00847F65" w:rsidRPr="00847F65" w14:paraId="7202A247" w14:textId="77777777" w:rsidTr="00090E3A">
        <w:trPr>
          <w:trHeight w:val="300"/>
        </w:trPr>
        <w:tc>
          <w:tcPr>
            <w:tcW w:w="2142" w:type="dxa"/>
            <w:tcBorders>
              <w:top w:val="nil"/>
              <w:left w:val="nil"/>
              <w:bottom w:val="nil"/>
              <w:right w:val="nil"/>
            </w:tcBorders>
            <w:shd w:val="clear" w:color="auto" w:fill="auto"/>
            <w:noWrap/>
            <w:vAlign w:val="center"/>
            <w:hideMark/>
          </w:tcPr>
          <w:p w14:paraId="1C5A00F5" w14:textId="77777777" w:rsidR="00847F65" w:rsidRPr="00847F65" w:rsidRDefault="00847F65" w:rsidP="00090E3A">
            <w:pPr>
              <w:jc w:val="center"/>
              <w:rPr>
                <w:color w:val="000000"/>
                <w:sz w:val="20"/>
                <w:szCs w:val="20"/>
              </w:rPr>
            </w:pPr>
          </w:p>
        </w:tc>
        <w:tc>
          <w:tcPr>
            <w:tcW w:w="1742" w:type="dxa"/>
            <w:tcBorders>
              <w:top w:val="nil"/>
              <w:left w:val="nil"/>
              <w:bottom w:val="nil"/>
              <w:right w:val="nil"/>
            </w:tcBorders>
            <w:shd w:val="clear" w:color="auto" w:fill="auto"/>
            <w:noWrap/>
            <w:vAlign w:val="center"/>
            <w:hideMark/>
          </w:tcPr>
          <w:p w14:paraId="43E3762B" w14:textId="77777777" w:rsidR="00847F65" w:rsidRPr="00847F65" w:rsidRDefault="00847F65" w:rsidP="00090E3A">
            <w:pPr>
              <w:jc w:val="center"/>
              <w:rPr>
                <w:color w:val="000000"/>
                <w:sz w:val="20"/>
                <w:szCs w:val="20"/>
              </w:rPr>
            </w:pPr>
            <w:r w:rsidRPr="00847F65">
              <w:rPr>
                <w:color w:val="000000"/>
                <w:sz w:val="20"/>
                <w:szCs w:val="20"/>
              </w:rPr>
              <w:t>(0.0296)</w:t>
            </w:r>
          </w:p>
        </w:tc>
        <w:tc>
          <w:tcPr>
            <w:tcW w:w="1742" w:type="dxa"/>
            <w:tcBorders>
              <w:top w:val="nil"/>
              <w:left w:val="nil"/>
              <w:bottom w:val="nil"/>
              <w:right w:val="nil"/>
            </w:tcBorders>
            <w:shd w:val="clear" w:color="auto" w:fill="auto"/>
            <w:noWrap/>
            <w:vAlign w:val="center"/>
            <w:hideMark/>
          </w:tcPr>
          <w:p w14:paraId="08392E2F" w14:textId="77777777" w:rsidR="00847F65" w:rsidRPr="00847F65" w:rsidRDefault="00847F65" w:rsidP="00090E3A">
            <w:pPr>
              <w:jc w:val="center"/>
              <w:rPr>
                <w:color w:val="000000"/>
                <w:sz w:val="20"/>
                <w:szCs w:val="20"/>
              </w:rPr>
            </w:pPr>
            <w:r w:rsidRPr="00847F65">
              <w:rPr>
                <w:color w:val="000000"/>
                <w:sz w:val="20"/>
                <w:szCs w:val="20"/>
              </w:rPr>
              <w:t>(0.0296)</w:t>
            </w:r>
          </w:p>
        </w:tc>
        <w:tc>
          <w:tcPr>
            <w:tcW w:w="1415" w:type="dxa"/>
            <w:tcBorders>
              <w:top w:val="nil"/>
              <w:left w:val="nil"/>
              <w:bottom w:val="nil"/>
              <w:right w:val="nil"/>
            </w:tcBorders>
            <w:shd w:val="clear" w:color="auto" w:fill="auto"/>
            <w:noWrap/>
            <w:vAlign w:val="center"/>
            <w:hideMark/>
          </w:tcPr>
          <w:p w14:paraId="14AD7D65" w14:textId="77777777" w:rsidR="00847F65" w:rsidRPr="00847F65" w:rsidRDefault="00847F65" w:rsidP="00090E3A">
            <w:pPr>
              <w:jc w:val="center"/>
              <w:rPr>
                <w:color w:val="000000"/>
                <w:sz w:val="20"/>
                <w:szCs w:val="20"/>
              </w:rPr>
            </w:pPr>
            <w:r w:rsidRPr="00847F65">
              <w:rPr>
                <w:color w:val="000000"/>
                <w:sz w:val="20"/>
                <w:szCs w:val="20"/>
              </w:rPr>
              <w:t>(0.026)</w:t>
            </w:r>
          </w:p>
        </w:tc>
        <w:tc>
          <w:tcPr>
            <w:tcW w:w="1742" w:type="dxa"/>
            <w:tcBorders>
              <w:top w:val="nil"/>
              <w:left w:val="single" w:sz="4" w:space="0" w:color="auto"/>
              <w:bottom w:val="nil"/>
              <w:right w:val="nil"/>
            </w:tcBorders>
            <w:shd w:val="clear" w:color="auto" w:fill="auto"/>
            <w:noWrap/>
            <w:vAlign w:val="center"/>
            <w:hideMark/>
          </w:tcPr>
          <w:p w14:paraId="5EB047A2" w14:textId="77777777" w:rsidR="00847F65" w:rsidRPr="00847F65" w:rsidRDefault="00847F65" w:rsidP="00090E3A">
            <w:pPr>
              <w:jc w:val="center"/>
              <w:rPr>
                <w:color w:val="000000"/>
                <w:sz w:val="20"/>
                <w:szCs w:val="20"/>
              </w:rPr>
            </w:pPr>
            <w:r w:rsidRPr="00847F65">
              <w:rPr>
                <w:color w:val="000000"/>
                <w:sz w:val="20"/>
                <w:szCs w:val="20"/>
              </w:rPr>
              <w:t>(0.0304)</w:t>
            </w:r>
          </w:p>
        </w:tc>
        <w:tc>
          <w:tcPr>
            <w:tcW w:w="1407" w:type="dxa"/>
            <w:tcBorders>
              <w:top w:val="nil"/>
              <w:left w:val="nil"/>
              <w:bottom w:val="nil"/>
              <w:right w:val="nil"/>
            </w:tcBorders>
            <w:shd w:val="clear" w:color="auto" w:fill="auto"/>
            <w:noWrap/>
            <w:vAlign w:val="center"/>
            <w:hideMark/>
          </w:tcPr>
          <w:p w14:paraId="2BB8F7AE" w14:textId="77777777" w:rsidR="00847F65" w:rsidRPr="00847F65" w:rsidRDefault="00847F65" w:rsidP="00090E3A">
            <w:pPr>
              <w:jc w:val="center"/>
              <w:rPr>
                <w:color w:val="000000"/>
                <w:sz w:val="20"/>
                <w:szCs w:val="20"/>
              </w:rPr>
            </w:pPr>
            <w:r w:rsidRPr="00847F65">
              <w:rPr>
                <w:color w:val="000000"/>
                <w:sz w:val="20"/>
                <w:szCs w:val="20"/>
              </w:rPr>
              <w:t>(0.0266)</w:t>
            </w:r>
          </w:p>
        </w:tc>
      </w:tr>
      <w:tr w:rsidR="00847F65" w:rsidRPr="00847F65" w14:paraId="5638F90A" w14:textId="77777777" w:rsidTr="00090E3A">
        <w:trPr>
          <w:trHeight w:val="300"/>
        </w:trPr>
        <w:tc>
          <w:tcPr>
            <w:tcW w:w="2142" w:type="dxa"/>
            <w:tcBorders>
              <w:top w:val="nil"/>
              <w:left w:val="nil"/>
              <w:bottom w:val="nil"/>
              <w:right w:val="nil"/>
            </w:tcBorders>
            <w:shd w:val="clear" w:color="auto" w:fill="auto"/>
            <w:noWrap/>
            <w:vAlign w:val="center"/>
            <w:hideMark/>
          </w:tcPr>
          <w:p w14:paraId="6A18765A" w14:textId="77777777" w:rsidR="00847F65" w:rsidRPr="00847F65" w:rsidRDefault="00847F65" w:rsidP="00090E3A">
            <w:pPr>
              <w:jc w:val="center"/>
              <w:rPr>
                <w:color w:val="000000"/>
                <w:sz w:val="20"/>
                <w:szCs w:val="20"/>
              </w:rPr>
            </w:pPr>
            <m:oMathPara>
              <m:oMathParaPr>
                <m:jc m:val="left"/>
              </m:oMathParaPr>
              <m:oMath>
                <m:r>
                  <m:rPr>
                    <m:sty m:val="p"/>
                  </m:rPr>
                  <w:rPr>
                    <w:rFonts w:ascii="Cambria Math" w:hAnsi="Cambria Math"/>
                    <w:color w:val="000000"/>
                    <w:sz w:val="20"/>
                    <w:szCs w:val="20"/>
                  </w:rPr>
                  <m:t xml:space="preserve">∆ </m:t>
                </m:r>
                <m:sSub>
                  <m:sSubPr>
                    <m:ctrlPr>
                      <w:rPr>
                        <w:rFonts w:ascii="Cambria Math" w:hAnsi="Cambria Math"/>
                        <w:color w:val="000000"/>
                        <w:sz w:val="20"/>
                        <w:szCs w:val="20"/>
                      </w:rPr>
                    </m:ctrlPr>
                  </m:sSubPr>
                  <m:e>
                    <m:r>
                      <m:rPr>
                        <m:sty m:val="p"/>
                      </m:rPr>
                      <w:rPr>
                        <w:rFonts w:ascii="Cambria Math" w:hAnsi="Cambria Math"/>
                        <w:color w:val="000000"/>
                        <w:sz w:val="20"/>
                        <w:szCs w:val="20"/>
                      </w:rPr>
                      <m:t>full cont</m:t>
                    </m:r>
                  </m:e>
                  <m:sub>
                    <m:r>
                      <m:rPr>
                        <m:sty m:val="p"/>
                      </m:rPr>
                      <w:rPr>
                        <w:rFonts w:ascii="Cambria Math" w:hAnsi="Cambria Math"/>
                        <w:color w:val="000000"/>
                        <w:sz w:val="20"/>
                        <w:szCs w:val="20"/>
                      </w:rPr>
                      <m:t>ij,t-3</m:t>
                    </m:r>
                  </m:sub>
                </m:sSub>
              </m:oMath>
            </m:oMathPara>
          </w:p>
        </w:tc>
        <w:tc>
          <w:tcPr>
            <w:tcW w:w="1742" w:type="dxa"/>
            <w:tcBorders>
              <w:top w:val="nil"/>
              <w:left w:val="nil"/>
              <w:bottom w:val="nil"/>
              <w:right w:val="nil"/>
            </w:tcBorders>
            <w:shd w:val="clear" w:color="auto" w:fill="auto"/>
            <w:noWrap/>
            <w:vAlign w:val="center"/>
            <w:hideMark/>
          </w:tcPr>
          <w:p w14:paraId="47813E93" w14:textId="77777777" w:rsidR="00847F65" w:rsidRPr="00847F65" w:rsidRDefault="00847F65" w:rsidP="00090E3A">
            <w:pPr>
              <w:jc w:val="center"/>
              <w:rPr>
                <w:color w:val="000000"/>
                <w:sz w:val="20"/>
                <w:szCs w:val="20"/>
              </w:rPr>
            </w:pPr>
            <w:r w:rsidRPr="00847F65">
              <w:rPr>
                <w:color w:val="000000"/>
                <w:sz w:val="20"/>
                <w:szCs w:val="20"/>
              </w:rPr>
              <w:t>0.601***</w:t>
            </w:r>
          </w:p>
        </w:tc>
        <w:tc>
          <w:tcPr>
            <w:tcW w:w="1742" w:type="dxa"/>
            <w:tcBorders>
              <w:top w:val="nil"/>
              <w:left w:val="nil"/>
              <w:bottom w:val="nil"/>
              <w:right w:val="nil"/>
            </w:tcBorders>
            <w:shd w:val="clear" w:color="auto" w:fill="auto"/>
            <w:noWrap/>
            <w:vAlign w:val="center"/>
            <w:hideMark/>
          </w:tcPr>
          <w:p w14:paraId="444A6C1D" w14:textId="77777777" w:rsidR="00847F65" w:rsidRPr="00847F65" w:rsidRDefault="00847F65" w:rsidP="00090E3A">
            <w:pPr>
              <w:jc w:val="center"/>
              <w:rPr>
                <w:color w:val="000000"/>
                <w:sz w:val="20"/>
                <w:szCs w:val="20"/>
              </w:rPr>
            </w:pPr>
            <w:r w:rsidRPr="00847F65">
              <w:rPr>
                <w:color w:val="000000"/>
                <w:sz w:val="20"/>
                <w:szCs w:val="20"/>
              </w:rPr>
              <w:t>0.599***</w:t>
            </w:r>
          </w:p>
        </w:tc>
        <w:tc>
          <w:tcPr>
            <w:tcW w:w="1415" w:type="dxa"/>
            <w:tcBorders>
              <w:top w:val="nil"/>
              <w:left w:val="nil"/>
              <w:bottom w:val="nil"/>
              <w:right w:val="nil"/>
            </w:tcBorders>
            <w:shd w:val="clear" w:color="auto" w:fill="auto"/>
            <w:noWrap/>
            <w:vAlign w:val="center"/>
            <w:hideMark/>
          </w:tcPr>
          <w:p w14:paraId="76225EC9" w14:textId="77777777" w:rsidR="00847F65" w:rsidRPr="00847F65" w:rsidRDefault="00847F65" w:rsidP="00090E3A">
            <w:pPr>
              <w:jc w:val="center"/>
              <w:rPr>
                <w:color w:val="000000"/>
                <w:sz w:val="20"/>
                <w:szCs w:val="20"/>
              </w:rPr>
            </w:pPr>
            <w:r w:rsidRPr="00847F65">
              <w:rPr>
                <w:color w:val="000000"/>
                <w:sz w:val="20"/>
                <w:szCs w:val="20"/>
              </w:rPr>
              <w:t>0.592***</w:t>
            </w:r>
          </w:p>
        </w:tc>
        <w:tc>
          <w:tcPr>
            <w:tcW w:w="1742" w:type="dxa"/>
            <w:tcBorders>
              <w:top w:val="nil"/>
              <w:left w:val="single" w:sz="4" w:space="0" w:color="auto"/>
              <w:bottom w:val="nil"/>
              <w:right w:val="nil"/>
            </w:tcBorders>
            <w:shd w:val="clear" w:color="auto" w:fill="auto"/>
            <w:noWrap/>
            <w:vAlign w:val="center"/>
            <w:hideMark/>
          </w:tcPr>
          <w:p w14:paraId="1F9B4573" w14:textId="77777777" w:rsidR="00847F65" w:rsidRPr="00847F65" w:rsidRDefault="00847F65" w:rsidP="00090E3A">
            <w:pPr>
              <w:jc w:val="center"/>
              <w:rPr>
                <w:color w:val="000000"/>
                <w:sz w:val="20"/>
                <w:szCs w:val="20"/>
              </w:rPr>
            </w:pPr>
            <w:r w:rsidRPr="00847F65">
              <w:rPr>
                <w:color w:val="000000"/>
                <w:sz w:val="20"/>
                <w:szCs w:val="20"/>
              </w:rPr>
              <w:t>0.596***</w:t>
            </w:r>
          </w:p>
        </w:tc>
        <w:tc>
          <w:tcPr>
            <w:tcW w:w="1407" w:type="dxa"/>
            <w:tcBorders>
              <w:top w:val="nil"/>
              <w:left w:val="nil"/>
              <w:bottom w:val="nil"/>
              <w:right w:val="nil"/>
            </w:tcBorders>
            <w:shd w:val="clear" w:color="auto" w:fill="auto"/>
            <w:noWrap/>
            <w:vAlign w:val="center"/>
            <w:hideMark/>
          </w:tcPr>
          <w:p w14:paraId="22C40D25" w14:textId="77777777" w:rsidR="00847F65" w:rsidRPr="00847F65" w:rsidRDefault="00847F65" w:rsidP="00090E3A">
            <w:pPr>
              <w:jc w:val="center"/>
              <w:rPr>
                <w:color w:val="000000"/>
                <w:sz w:val="20"/>
                <w:szCs w:val="20"/>
              </w:rPr>
            </w:pPr>
            <w:r w:rsidRPr="00847F65">
              <w:rPr>
                <w:color w:val="000000"/>
                <w:sz w:val="20"/>
                <w:szCs w:val="20"/>
              </w:rPr>
              <w:t>0.589***</w:t>
            </w:r>
          </w:p>
        </w:tc>
      </w:tr>
      <w:tr w:rsidR="00847F65" w:rsidRPr="00847F65" w14:paraId="7F892A87" w14:textId="77777777" w:rsidTr="00090E3A">
        <w:trPr>
          <w:trHeight w:val="300"/>
        </w:trPr>
        <w:tc>
          <w:tcPr>
            <w:tcW w:w="2142" w:type="dxa"/>
            <w:tcBorders>
              <w:top w:val="nil"/>
              <w:left w:val="nil"/>
              <w:bottom w:val="nil"/>
              <w:right w:val="nil"/>
            </w:tcBorders>
            <w:shd w:val="clear" w:color="auto" w:fill="auto"/>
            <w:noWrap/>
            <w:vAlign w:val="center"/>
            <w:hideMark/>
          </w:tcPr>
          <w:p w14:paraId="62B6E21A" w14:textId="77777777" w:rsidR="00847F65" w:rsidRPr="00847F65" w:rsidRDefault="00847F65" w:rsidP="00090E3A">
            <w:pPr>
              <w:jc w:val="center"/>
              <w:rPr>
                <w:color w:val="000000"/>
                <w:sz w:val="20"/>
                <w:szCs w:val="20"/>
              </w:rPr>
            </w:pPr>
          </w:p>
        </w:tc>
        <w:tc>
          <w:tcPr>
            <w:tcW w:w="1742" w:type="dxa"/>
            <w:tcBorders>
              <w:top w:val="nil"/>
              <w:left w:val="nil"/>
              <w:bottom w:val="nil"/>
              <w:right w:val="nil"/>
            </w:tcBorders>
            <w:shd w:val="clear" w:color="auto" w:fill="auto"/>
            <w:noWrap/>
            <w:vAlign w:val="center"/>
            <w:hideMark/>
          </w:tcPr>
          <w:p w14:paraId="1D0CE7BF" w14:textId="77777777" w:rsidR="00847F65" w:rsidRPr="00847F65" w:rsidRDefault="00847F65" w:rsidP="00090E3A">
            <w:pPr>
              <w:jc w:val="center"/>
              <w:rPr>
                <w:color w:val="000000"/>
                <w:sz w:val="20"/>
                <w:szCs w:val="20"/>
              </w:rPr>
            </w:pPr>
            <w:r w:rsidRPr="00847F65">
              <w:rPr>
                <w:color w:val="000000"/>
                <w:sz w:val="20"/>
                <w:szCs w:val="20"/>
              </w:rPr>
              <w:t>(0.0178)</w:t>
            </w:r>
          </w:p>
        </w:tc>
        <w:tc>
          <w:tcPr>
            <w:tcW w:w="1742" w:type="dxa"/>
            <w:tcBorders>
              <w:top w:val="nil"/>
              <w:left w:val="nil"/>
              <w:bottom w:val="nil"/>
              <w:right w:val="nil"/>
            </w:tcBorders>
            <w:shd w:val="clear" w:color="auto" w:fill="auto"/>
            <w:noWrap/>
            <w:vAlign w:val="center"/>
            <w:hideMark/>
          </w:tcPr>
          <w:p w14:paraId="13235E3C" w14:textId="77777777" w:rsidR="00847F65" w:rsidRPr="00847F65" w:rsidRDefault="00847F65" w:rsidP="00090E3A">
            <w:pPr>
              <w:jc w:val="center"/>
              <w:rPr>
                <w:color w:val="000000"/>
                <w:sz w:val="20"/>
                <w:szCs w:val="20"/>
              </w:rPr>
            </w:pPr>
            <w:r w:rsidRPr="00847F65">
              <w:rPr>
                <w:color w:val="000000"/>
                <w:sz w:val="20"/>
                <w:szCs w:val="20"/>
              </w:rPr>
              <w:t>(0.0178)</w:t>
            </w:r>
          </w:p>
        </w:tc>
        <w:tc>
          <w:tcPr>
            <w:tcW w:w="1415" w:type="dxa"/>
            <w:tcBorders>
              <w:top w:val="nil"/>
              <w:left w:val="nil"/>
              <w:bottom w:val="nil"/>
              <w:right w:val="nil"/>
            </w:tcBorders>
            <w:shd w:val="clear" w:color="auto" w:fill="auto"/>
            <w:noWrap/>
            <w:vAlign w:val="center"/>
            <w:hideMark/>
          </w:tcPr>
          <w:p w14:paraId="4EE2E116" w14:textId="77777777" w:rsidR="00847F65" w:rsidRPr="00847F65" w:rsidRDefault="00847F65" w:rsidP="00090E3A">
            <w:pPr>
              <w:jc w:val="center"/>
              <w:rPr>
                <w:color w:val="000000"/>
                <w:sz w:val="20"/>
                <w:szCs w:val="20"/>
              </w:rPr>
            </w:pPr>
            <w:r w:rsidRPr="00847F65">
              <w:rPr>
                <w:color w:val="000000"/>
                <w:sz w:val="20"/>
                <w:szCs w:val="20"/>
              </w:rPr>
              <w:t>(0.0157)</w:t>
            </w:r>
          </w:p>
        </w:tc>
        <w:tc>
          <w:tcPr>
            <w:tcW w:w="1742" w:type="dxa"/>
            <w:tcBorders>
              <w:top w:val="nil"/>
              <w:left w:val="single" w:sz="4" w:space="0" w:color="auto"/>
              <w:bottom w:val="nil"/>
              <w:right w:val="nil"/>
            </w:tcBorders>
            <w:shd w:val="clear" w:color="auto" w:fill="auto"/>
            <w:noWrap/>
            <w:vAlign w:val="center"/>
            <w:hideMark/>
          </w:tcPr>
          <w:p w14:paraId="70E1F928" w14:textId="77777777" w:rsidR="00847F65" w:rsidRPr="00847F65" w:rsidRDefault="00847F65" w:rsidP="00090E3A">
            <w:pPr>
              <w:jc w:val="center"/>
              <w:rPr>
                <w:color w:val="000000"/>
                <w:sz w:val="20"/>
                <w:szCs w:val="20"/>
              </w:rPr>
            </w:pPr>
            <w:r w:rsidRPr="00847F65">
              <w:rPr>
                <w:color w:val="000000"/>
                <w:sz w:val="20"/>
                <w:szCs w:val="20"/>
              </w:rPr>
              <w:t>(0.0177)</w:t>
            </w:r>
          </w:p>
        </w:tc>
        <w:tc>
          <w:tcPr>
            <w:tcW w:w="1407" w:type="dxa"/>
            <w:tcBorders>
              <w:top w:val="nil"/>
              <w:left w:val="nil"/>
              <w:bottom w:val="nil"/>
              <w:right w:val="nil"/>
            </w:tcBorders>
            <w:shd w:val="clear" w:color="auto" w:fill="auto"/>
            <w:noWrap/>
            <w:vAlign w:val="center"/>
            <w:hideMark/>
          </w:tcPr>
          <w:p w14:paraId="28207083" w14:textId="77777777" w:rsidR="00847F65" w:rsidRPr="00847F65" w:rsidRDefault="00847F65" w:rsidP="00090E3A">
            <w:pPr>
              <w:jc w:val="center"/>
              <w:rPr>
                <w:color w:val="000000"/>
                <w:sz w:val="20"/>
                <w:szCs w:val="20"/>
              </w:rPr>
            </w:pPr>
            <w:r w:rsidRPr="00847F65">
              <w:rPr>
                <w:color w:val="000000"/>
                <w:sz w:val="20"/>
                <w:szCs w:val="20"/>
              </w:rPr>
              <w:t>(0.0157)</w:t>
            </w:r>
          </w:p>
        </w:tc>
      </w:tr>
      <w:tr w:rsidR="00847F65" w:rsidRPr="00847F65" w14:paraId="05A81A2B" w14:textId="77777777" w:rsidTr="00090E3A">
        <w:trPr>
          <w:trHeight w:val="300"/>
        </w:trPr>
        <w:tc>
          <w:tcPr>
            <w:tcW w:w="2142" w:type="dxa"/>
            <w:tcBorders>
              <w:top w:val="nil"/>
              <w:left w:val="nil"/>
              <w:bottom w:val="nil"/>
              <w:right w:val="nil"/>
            </w:tcBorders>
            <w:shd w:val="clear" w:color="auto" w:fill="auto"/>
            <w:noWrap/>
            <w:vAlign w:val="center"/>
            <w:hideMark/>
          </w:tcPr>
          <w:p w14:paraId="4C316E2F" w14:textId="77777777" w:rsidR="00847F65" w:rsidRPr="00847F65" w:rsidRDefault="00847F65" w:rsidP="00090E3A">
            <w:pPr>
              <w:jc w:val="center"/>
              <w:rPr>
                <w:color w:val="000000"/>
                <w:sz w:val="20"/>
                <w:szCs w:val="20"/>
              </w:rPr>
            </w:pPr>
            <m:oMathPara>
              <m:oMathParaPr>
                <m:jc m:val="left"/>
              </m:oMathParaPr>
              <m:oMath>
                <m:r>
                  <m:rPr>
                    <m:sty m:val="p"/>
                  </m:rPr>
                  <w:rPr>
                    <w:rFonts w:ascii="Cambria Math" w:hAnsi="Cambria Math"/>
                    <w:color w:val="000000"/>
                    <w:sz w:val="20"/>
                    <w:szCs w:val="20"/>
                  </w:rPr>
                  <m:t xml:space="preserve">∆ </m:t>
                </m:r>
                <m:sSub>
                  <m:sSubPr>
                    <m:ctrlPr>
                      <w:rPr>
                        <w:rFonts w:ascii="Cambria Math" w:hAnsi="Cambria Math"/>
                        <w:color w:val="000000"/>
                        <w:sz w:val="20"/>
                        <w:szCs w:val="20"/>
                      </w:rPr>
                    </m:ctrlPr>
                  </m:sSubPr>
                  <m:e>
                    <m:r>
                      <m:rPr>
                        <m:sty m:val="p"/>
                      </m:rPr>
                      <w:rPr>
                        <w:rFonts w:ascii="Cambria Math" w:hAnsi="Cambria Math"/>
                        <w:color w:val="000000"/>
                        <w:sz w:val="20"/>
                        <w:szCs w:val="20"/>
                      </w:rPr>
                      <m:t>full cont</m:t>
                    </m:r>
                  </m:e>
                  <m:sub>
                    <m:r>
                      <m:rPr>
                        <m:sty m:val="p"/>
                      </m:rPr>
                      <w:rPr>
                        <w:rFonts w:ascii="Cambria Math" w:hAnsi="Cambria Math"/>
                        <w:color w:val="000000"/>
                        <w:sz w:val="20"/>
                        <w:szCs w:val="20"/>
                      </w:rPr>
                      <m:t>ij,t+1</m:t>
                    </m:r>
                  </m:sub>
                </m:sSub>
              </m:oMath>
            </m:oMathPara>
          </w:p>
        </w:tc>
        <w:tc>
          <w:tcPr>
            <w:tcW w:w="1742" w:type="dxa"/>
            <w:tcBorders>
              <w:top w:val="nil"/>
              <w:left w:val="nil"/>
              <w:bottom w:val="nil"/>
              <w:right w:val="nil"/>
            </w:tcBorders>
            <w:shd w:val="clear" w:color="auto" w:fill="auto"/>
            <w:noWrap/>
            <w:vAlign w:val="center"/>
            <w:hideMark/>
          </w:tcPr>
          <w:p w14:paraId="1F5CE5B5" w14:textId="77777777" w:rsidR="00847F65" w:rsidRPr="00847F65" w:rsidRDefault="00847F65" w:rsidP="00090E3A">
            <w:pPr>
              <w:jc w:val="center"/>
              <w:rPr>
                <w:color w:val="000000"/>
                <w:sz w:val="20"/>
                <w:szCs w:val="20"/>
              </w:rPr>
            </w:pPr>
          </w:p>
        </w:tc>
        <w:tc>
          <w:tcPr>
            <w:tcW w:w="1742" w:type="dxa"/>
            <w:tcBorders>
              <w:top w:val="nil"/>
              <w:left w:val="nil"/>
              <w:bottom w:val="nil"/>
              <w:right w:val="nil"/>
            </w:tcBorders>
            <w:shd w:val="clear" w:color="auto" w:fill="auto"/>
            <w:noWrap/>
            <w:vAlign w:val="center"/>
            <w:hideMark/>
          </w:tcPr>
          <w:p w14:paraId="49E5020E" w14:textId="77777777" w:rsidR="00847F65" w:rsidRPr="00847F65" w:rsidRDefault="00847F65" w:rsidP="00090E3A">
            <w:pPr>
              <w:jc w:val="center"/>
              <w:rPr>
                <w:color w:val="000000"/>
                <w:sz w:val="20"/>
                <w:szCs w:val="20"/>
              </w:rPr>
            </w:pPr>
            <w:r w:rsidRPr="00847F65">
              <w:rPr>
                <w:color w:val="000000"/>
                <w:sz w:val="20"/>
                <w:szCs w:val="20"/>
              </w:rPr>
              <w:t>0.0454</w:t>
            </w:r>
          </w:p>
        </w:tc>
        <w:tc>
          <w:tcPr>
            <w:tcW w:w="1415" w:type="dxa"/>
            <w:tcBorders>
              <w:top w:val="nil"/>
              <w:left w:val="nil"/>
              <w:bottom w:val="nil"/>
              <w:right w:val="nil"/>
            </w:tcBorders>
            <w:shd w:val="clear" w:color="auto" w:fill="auto"/>
            <w:noWrap/>
            <w:vAlign w:val="center"/>
            <w:hideMark/>
          </w:tcPr>
          <w:p w14:paraId="718CC0DA" w14:textId="77777777" w:rsidR="00847F65" w:rsidRPr="00847F65" w:rsidRDefault="00847F65" w:rsidP="00090E3A">
            <w:pPr>
              <w:jc w:val="center"/>
              <w:rPr>
                <w:color w:val="000000"/>
                <w:sz w:val="20"/>
                <w:szCs w:val="20"/>
              </w:rPr>
            </w:pPr>
            <w:r w:rsidRPr="00847F65">
              <w:rPr>
                <w:color w:val="000000"/>
                <w:sz w:val="20"/>
                <w:szCs w:val="20"/>
              </w:rPr>
              <w:t>-0.0502</w:t>
            </w:r>
          </w:p>
        </w:tc>
        <w:tc>
          <w:tcPr>
            <w:tcW w:w="1742" w:type="dxa"/>
            <w:tcBorders>
              <w:top w:val="nil"/>
              <w:left w:val="single" w:sz="4" w:space="0" w:color="auto"/>
              <w:bottom w:val="nil"/>
              <w:right w:val="nil"/>
            </w:tcBorders>
            <w:shd w:val="clear" w:color="auto" w:fill="auto"/>
            <w:noWrap/>
            <w:vAlign w:val="center"/>
            <w:hideMark/>
          </w:tcPr>
          <w:p w14:paraId="3FCF6F5F" w14:textId="77777777" w:rsidR="00847F65" w:rsidRPr="00847F65" w:rsidRDefault="00847F65" w:rsidP="00090E3A">
            <w:pPr>
              <w:jc w:val="center"/>
              <w:rPr>
                <w:color w:val="000000"/>
                <w:sz w:val="20"/>
                <w:szCs w:val="20"/>
              </w:rPr>
            </w:pPr>
            <w:r w:rsidRPr="00847F65">
              <w:rPr>
                <w:color w:val="000000"/>
                <w:sz w:val="20"/>
                <w:szCs w:val="20"/>
              </w:rPr>
              <w:t>0.034</w:t>
            </w:r>
          </w:p>
        </w:tc>
        <w:tc>
          <w:tcPr>
            <w:tcW w:w="1407" w:type="dxa"/>
            <w:tcBorders>
              <w:top w:val="nil"/>
              <w:left w:val="nil"/>
              <w:bottom w:val="nil"/>
              <w:right w:val="nil"/>
            </w:tcBorders>
            <w:shd w:val="clear" w:color="auto" w:fill="auto"/>
            <w:noWrap/>
            <w:vAlign w:val="center"/>
            <w:hideMark/>
          </w:tcPr>
          <w:p w14:paraId="13F052E0" w14:textId="77777777" w:rsidR="00847F65" w:rsidRPr="00847F65" w:rsidRDefault="00847F65" w:rsidP="00090E3A">
            <w:pPr>
              <w:jc w:val="center"/>
              <w:rPr>
                <w:color w:val="000000"/>
                <w:sz w:val="20"/>
                <w:szCs w:val="20"/>
              </w:rPr>
            </w:pPr>
            <w:r w:rsidRPr="00847F65">
              <w:rPr>
                <w:color w:val="000000"/>
                <w:sz w:val="20"/>
                <w:szCs w:val="20"/>
              </w:rPr>
              <w:t>-0.041</w:t>
            </w:r>
          </w:p>
        </w:tc>
      </w:tr>
      <w:tr w:rsidR="00847F65" w:rsidRPr="00847F65" w14:paraId="4A908A8C" w14:textId="77777777" w:rsidTr="00090E3A">
        <w:trPr>
          <w:trHeight w:val="300"/>
        </w:trPr>
        <w:tc>
          <w:tcPr>
            <w:tcW w:w="2142" w:type="dxa"/>
            <w:tcBorders>
              <w:top w:val="nil"/>
              <w:left w:val="nil"/>
              <w:bottom w:val="nil"/>
              <w:right w:val="nil"/>
            </w:tcBorders>
            <w:shd w:val="clear" w:color="auto" w:fill="auto"/>
            <w:noWrap/>
            <w:vAlign w:val="center"/>
            <w:hideMark/>
          </w:tcPr>
          <w:p w14:paraId="1D009F57" w14:textId="77777777" w:rsidR="00847F65" w:rsidRPr="00847F65" w:rsidRDefault="00847F65" w:rsidP="00090E3A">
            <w:pPr>
              <w:jc w:val="center"/>
              <w:rPr>
                <w:color w:val="000000"/>
                <w:sz w:val="20"/>
                <w:szCs w:val="20"/>
              </w:rPr>
            </w:pPr>
          </w:p>
        </w:tc>
        <w:tc>
          <w:tcPr>
            <w:tcW w:w="1742" w:type="dxa"/>
            <w:tcBorders>
              <w:top w:val="nil"/>
              <w:left w:val="nil"/>
              <w:bottom w:val="nil"/>
              <w:right w:val="nil"/>
            </w:tcBorders>
            <w:shd w:val="clear" w:color="auto" w:fill="auto"/>
            <w:noWrap/>
            <w:vAlign w:val="center"/>
            <w:hideMark/>
          </w:tcPr>
          <w:p w14:paraId="3BED9D87" w14:textId="77777777" w:rsidR="00847F65" w:rsidRPr="00847F65" w:rsidRDefault="00847F65" w:rsidP="00090E3A">
            <w:pPr>
              <w:jc w:val="center"/>
              <w:rPr>
                <w:color w:val="000000"/>
                <w:sz w:val="20"/>
                <w:szCs w:val="20"/>
              </w:rPr>
            </w:pPr>
          </w:p>
        </w:tc>
        <w:tc>
          <w:tcPr>
            <w:tcW w:w="1742" w:type="dxa"/>
            <w:tcBorders>
              <w:top w:val="nil"/>
              <w:left w:val="nil"/>
              <w:bottom w:val="nil"/>
              <w:right w:val="nil"/>
            </w:tcBorders>
            <w:shd w:val="clear" w:color="auto" w:fill="auto"/>
            <w:noWrap/>
            <w:vAlign w:val="center"/>
            <w:hideMark/>
          </w:tcPr>
          <w:p w14:paraId="25C1247A" w14:textId="77777777" w:rsidR="00847F65" w:rsidRPr="00847F65" w:rsidRDefault="00847F65" w:rsidP="00090E3A">
            <w:pPr>
              <w:jc w:val="center"/>
              <w:rPr>
                <w:color w:val="000000"/>
                <w:sz w:val="20"/>
                <w:szCs w:val="20"/>
              </w:rPr>
            </w:pPr>
            <w:r w:rsidRPr="00847F65">
              <w:rPr>
                <w:color w:val="000000"/>
                <w:sz w:val="20"/>
                <w:szCs w:val="20"/>
              </w:rPr>
              <w:t>(0.0839)</w:t>
            </w:r>
          </w:p>
        </w:tc>
        <w:tc>
          <w:tcPr>
            <w:tcW w:w="1415" w:type="dxa"/>
            <w:tcBorders>
              <w:top w:val="nil"/>
              <w:left w:val="nil"/>
              <w:bottom w:val="nil"/>
              <w:right w:val="nil"/>
            </w:tcBorders>
            <w:shd w:val="clear" w:color="auto" w:fill="auto"/>
            <w:noWrap/>
            <w:vAlign w:val="center"/>
            <w:hideMark/>
          </w:tcPr>
          <w:p w14:paraId="7DA12D64" w14:textId="77777777" w:rsidR="00847F65" w:rsidRPr="00847F65" w:rsidRDefault="00847F65" w:rsidP="00090E3A">
            <w:pPr>
              <w:jc w:val="center"/>
              <w:rPr>
                <w:color w:val="000000"/>
                <w:sz w:val="20"/>
                <w:szCs w:val="20"/>
              </w:rPr>
            </w:pPr>
            <w:r w:rsidRPr="00847F65">
              <w:rPr>
                <w:color w:val="000000"/>
                <w:sz w:val="20"/>
                <w:szCs w:val="20"/>
              </w:rPr>
              <w:t>(0.0737)</w:t>
            </w:r>
          </w:p>
        </w:tc>
        <w:tc>
          <w:tcPr>
            <w:tcW w:w="1742" w:type="dxa"/>
            <w:tcBorders>
              <w:top w:val="nil"/>
              <w:left w:val="single" w:sz="4" w:space="0" w:color="auto"/>
              <w:bottom w:val="nil"/>
              <w:right w:val="nil"/>
            </w:tcBorders>
            <w:shd w:val="clear" w:color="auto" w:fill="auto"/>
            <w:noWrap/>
            <w:vAlign w:val="center"/>
            <w:hideMark/>
          </w:tcPr>
          <w:p w14:paraId="2B5743B3" w14:textId="77777777" w:rsidR="00847F65" w:rsidRPr="00847F65" w:rsidRDefault="00847F65" w:rsidP="00090E3A">
            <w:pPr>
              <w:jc w:val="center"/>
              <w:rPr>
                <w:color w:val="000000"/>
                <w:sz w:val="20"/>
                <w:szCs w:val="20"/>
              </w:rPr>
            </w:pPr>
            <w:r w:rsidRPr="00847F65">
              <w:rPr>
                <w:color w:val="000000"/>
                <w:sz w:val="20"/>
                <w:szCs w:val="20"/>
              </w:rPr>
              <w:t>(0.0859)</w:t>
            </w:r>
          </w:p>
        </w:tc>
        <w:tc>
          <w:tcPr>
            <w:tcW w:w="1407" w:type="dxa"/>
            <w:tcBorders>
              <w:top w:val="nil"/>
              <w:left w:val="nil"/>
              <w:bottom w:val="nil"/>
              <w:right w:val="nil"/>
            </w:tcBorders>
            <w:shd w:val="clear" w:color="auto" w:fill="auto"/>
            <w:noWrap/>
            <w:vAlign w:val="center"/>
            <w:hideMark/>
          </w:tcPr>
          <w:p w14:paraId="4DCCF2EF" w14:textId="77777777" w:rsidR="00847F65" w:rsidRPr="00847F65" w:rsidRDefault="00847F65" w:rsidP="00090E3A">
            <w:pPr>
              <w:jc w:val="center"/>
              <w:rPr>
                <w:color w:val="000000"/>
                <w:sz w:val="20"/>
                <w:szCs w:val="20"/>
              </w:rPr>
            </w:pPr>
            <w:r w:rsidRPr="00847F65">
              <w:rPr>
                <w:color w:val="000000"/>
                <w:sz w:val="20"/>
                <w:szCs w:val="20"/>
              </w:rPr>
              <w:t>(0.0771)</w:t>
            </w:r>
          </w:p>
        </w:tc>
      </w:tr>
      <w:tr w:rsidR="00847F65" w:rsidRPr="00847F65" w14:paraId="12DAC10F" w14:textId="77777777" w:rsidTr="00090E3A">
        <w:trPr>
          <w:trHeight w:val="300"/>
        </w:trPr>
        <w:tc>
          <w:tcPr>
            <w:tcW w:w="2142" w:type="dxa"/>
            <w:tcBorders>
              <w:top w:val="nil"/>
              <w:left w:val="nil"/>
              <w:bottom w:val="nil"/>
              <w:right w:val="nil"/>
            </w:tcBorders>
            <w:shd w:val="clear" w:color="auto" w:fill="auto"/>
            <w:noWrap/>
            <w:vAlign w:val="center"/>
            <w:hideMark/>
          </w:tcPr>
          <w:p w14:paraId="262000E4" w14:textId="77777777" w:rsidR="00847F65" w:rsidRPr="00847F65" w:rsidRDefault="00847F65" w:rsidP="00090E3A">
            <w:pPr>
              <w:jc w:val="center"/>
              <w:rPr>
                <w:color w:val="000000"/>
                <w:sz w:val="20"/>
                <w:szCs w:val="20"/>
              </w:rPr>
            </w:pPr>
            <m:oMathPara>
              <m:oMathParaPr>
                <m:jc m:val="left"/>
              </m:oMathParaPr>
              <m:oMath>
                <m:r>
                  <m:rPr>
                    <m:sty m:val="p"/>
                  </m:rPr>
                  <w:rPr>
                    <w:rFonts w:ascii="Cambria Math" w:hAnsi="Cambria Math"/>
                    <w:color w:val="000000"/>
                    <w:sz w:val="20"/>
                    <w:szCs w:val="20"/>
                  </w:rPr>
                  <m:t xml:space="preserve">∆ </m:t>
                </m:r>
                <m:sSub>
                  <m:sSubPr>
                    <m:ctrlPr>
                      <w:rPr>
                        <w:rFonts w:ascii="Cambria Math" w:hAnsi="Cambria Math"/>
                        <w:color w:val="000000"/>
                        <w:sz w:val="20"/>
                        <w:szCs w:val="20"/>
                      </w:rPr>
                    </m:ctrlPr>
                  </m:sSubPr>
                  <m:e>
                    <m:r>
                      <m:rPr>
                        <m:sty m:val="p"/>
                      </m:rPr>
                      <w:rPr>
                        <w:rFonts w:ascii="Cambria Math" w:hAnsi="Cambria Math"/>
                        <w:color w:val="000000"/>
                        <w:sz w:val="20"/>
                        <w:szCs w:val="20"/>
                      </w:rPr>
                      <m:t>fta</m:t>
                    </m:r>
                  </m:e>
                  <m:sub>
                    <m:r>
                      <m:rPr>
                        <m:sty m:val="p"/>
                      </m:rPr>
                      <w:rPr>
                        <w:rFonts w:ascii="Cambria Math" w:hAnsi="Cambria Math"/>
                        <w:color w:val="000000"/>
                        <w:sz w:val="20"/>
                        <w:szCs w:val="20"/>
                      </w:rPr>
                      <m:t>ij,t</m:t>
                    </m:r>
                  </m:sub>
                </m:sSub>
              </m:oMath>
            </m:oMathPara>
          </w:p>
        </w:tc>
        <w:tc>
          <w:tcPr>
            <w:tcW w:w="1742" w:type="dxa"/>
            <w:tcBorders>
              <w:top w:val="nil"/>
              <w:left w:val="nil"/>
              <w:bottom w:val="nil"/>
              <w:right w:val="nil"/>
            </w:tcBorders>
            <w:shd w:val="clear" w:color="auto" w:fill="auto"/>
            <w:noWrap/>
            <w:vAlign w:val="center"/>
            <w:hideMark/>
          </w:tcPr>
          <w:p w14:paraId="34CEF11D" w14:textId="77777777" w:rsidR="00847F65" w:rsidRPr="00847F65" w:rsidRDefault="00847F65" w:rsidP="00090E3A">
            <w:pPr>
              <w:jc w:val="center"/>
              <w:rPr>
                <w:color w:val="000000"/>
                <w:sz w:val="20"/>
                <w:szCs w:val="20"/>
              </w:rPr>
            </w:pPr>
            <w:r w:rsidRPr="00847F65">
              <w:rPr>
                <w:color w:val="000000"/>
                <w:sz w:val="20"/>
                <w:szCs w:val="20"/>
              </w:rPr>
              <w:t>0.229***</w:t>
            </w:r>
          </w:p>
        </w:tc>
        <w:tc>
          <w:tcPr>
            <w:tcW w:w="1742" w:type="dxa"/>
            <w:tcBorders>
              <w:top w:val="nil"/>
              <w:left w:val="nil"/>
              <w:bottom w:val="nil"/>
              <w:right w:val="nil"/>
            </w:tcBorders>
            <w:shd w:val="clear" w:color="auto" w:fill="auto"/>
            <w:noWrap/>
            <w:vAlign w:val="center"/>
            <w:hideMark/>
          </w:tcPr>
          <w:p w14:paraId="0204A78D" w14:textId="77777777" w:rsidR="00847F65" w:rsidRPr="00847F65" w:rsidRDefault="00847F65" w:rsidP="00090E3A">
            <w:pPr>
              <w:jc w:val="center"/>
              <w:rPr>
                <w:color w:val="000000"/>
                <w:sz w:val="20"/>
                <w:szCs w:val="20"/>
              </w:rPr>
            </w:pPr>
            <w:r w:rsidRPr="00847F65">
              <w:rPr>
                <w:color w:val="000000"/>
                <w:sz w:val="20"/>
                <w:szCs w:val="20"/>
              </w:rPr>
              <w:t>0.239***</w:t>
            </w:r>
          </w:p>
        </w:tc>
        <w:tc>
          <w:tcPr>
            <w:tcW w:w="1415" w:type="dxa"/>
            <w:tcBorders>
              <w:top w:val="nil"/>
              <w:left w:val="nil"/>
              <w:bottom w:val="nil"/>
              <w:right w:val="nil"/>
            </w:tcBorders>
            <w:shd w:val="clear" w:color="auto" w:fill="auto"/>
            <w:noWrap/>
            <w:vAlign w:val="center"/>
            <w:hideMark/>
          </w:tcPr>
          <w:p w14:paraId="079C80AD" w14:textId="77777777" w:rsidR="00847F65" w:rsidRPr="00847F65" w:rsidRDefault="00847F65" w:rsidP="00090E3A">
            <w:pPr>
              <w:jc w:val="center"/>
              <w:rPr>
                <w:color w:val="000000"/>
                <w:sz w:val="20"/>
                <w:szCs w:val="20"/>
              </w:rPr>
            </w:pPr>
            <w:r w:rsidRPr="00847F65">
              <w:rPr>
                <w:color w:val="000000"/>
                <w:sz w:val="20"/>
                <w:szCs w:val="20"/>
              </w:rPr>
              <w:t>0.230***</w:t>
            </w:r>
          </w:p>
        </w:tc>
        <w:tc>
          <w:tcPr>
            <w:tcW w:w="1742" w:type="dxa"/>
            <w:tcBorders>
              <w:top w:val="nil"/>
              <w:left w:val="single" w:sz="4" w:space="0" w:color="auto"/>
              <w:bottom w:val="nil"/>
              <w:right w:val="nil"/>
            </w:tcBorders>
            <w:shd w:val="clear" w:color="auto" w:fill="auto"/>
            <w:noWrap/>
            <w:vAlign w:val="center"/>
            <w:hideMark/>
          </w:tcPr>
          <w:p w14:paraId="1A012606" w14:textId="77777777" w:rsidR="00847F65" w:rsidRPr="00847F65" w:rsidRDefault="00847F65" w:rsidP="00090E3A">
            <w:pPr>
              <w:jc w:val="center"/>
              <w:rPr>
                <w:color w:val="000000"/>
                <w:sz w:val="20"/>
                <w:szCs w:val="20"/>
              </w:rPr>
            </w:pPr>
            <w:r w:rsidRPr="00847F65">
              <w:rPr>
                <w:color w:val="000000"/>
                <w:sz w:val="20"/>
                <w:szCs w:val="20"/>
              </w:rPr>
              <w:t>0.248***</w:t>
            </w:r>
          </w:p>
        </w:tc>
        <w:tc>
          <w:tcPr>
            <w:tcW w:w="1407" w:type="dxa"/>
            <w:tcBorders>
              <w:top w:val="nil"/>
              <w:left w:val="nil"/>
              <w:bottom w:val="nil"/>
              <w:right w:val="nil"/>
            </w:tcBorders>
            <w:shd w:val="clear" w:color="auto" w:fill="auto"/>
            <w:noWrap/>
            <w:vAlign w:val="center"/>
            <w:hideMark/>
          </w:tcPr>
          <w:p w14:paraId="391C6EFD" w14:textId="77777777" w:rsidR="00847F65" w:rsidRPr="00847F65" w:rsidRDefault="00847F65" w:rsidP="00090E3A">
            <w:pPr>
              <w:jc w:val="center"/>
              <w:rPr>
                <w:color w:val="000000"/>
                <w:sz w:val="20"/>
                <w:szCs w:val="20"/>
              </w:rPr>
            </w:pPr>
            <w:r w:rsidRPr="00847F65">
              <w:rPr>
                <w:color w:val="000000"/>
                <w:sz w:val="20"/>
                <w:szCs w:val="20"/>
              </w:rPr>
              <w:t>0.234***</w:t>
            </w:r>
          </w:p>
        </w:tc>
      </w:tr>
      <w:tr w:rsidR="00847F65" w:rsidRPr="00847F65" w14:paraId="23238DE2" w14:textId="77777777" w:rsidTr="00090E3A">
        <w:trPr>
          <w:trHeight w:val="300"/>
        </w:trPr>
        <w:tc>
          <w:tcPr>
            <w:tcW w:w="2142" w:type="dxa"/>
            <w:tcBorders>
              <w:top w:val="nil"/>
              <w:left w:val="nil"/>
              <w:bottom w:val="nil"/>
              <w:right w:val="nil"/>
            </w:tcBorders>
            <w:shd w:val="clear" w:color="auto" w:fill="auto"/>
            <w:noWrap/>
            <w:vAlign w:val="center"/>
            <w:hideMark/>
          </w:tcPr>
          <w:p w14:paraId="6D2D0FD9" w14:textId="18A715AE" w:rsidR="00847F65" w:rsidRPr="00847F65" w:rsidRDefault="001521FE" w:rsidP="00090E3A">
            <w:pPr>
              <w:jc w:val="center"/>
              <w:rPr>
                <w:color w:val="000000"/>
                <w:sz w:val="20"/>
                <w:szCs w:val="20"/>
              </w:rPr>
            </w:pPr>
            <w:r>
              <w:rPr>
                <w:noProof/>
                <w:color w:val="000000"/>
                <w:sz w:val="20"/>
                <w:szCs w:val="20"/>
              </w:rPr>
              <mc:AlternateContent>
                <mc:Choice Requires="wps">
                  <w:drawing>
                    <wp:anchor distT="0" distB="0" distL="114300" distR="114300" simplePos="0" relativeHeight="251659264" behindDoc="0" locked="0" layoutInCell="1" allowOverlap="1" wp14:anchorId="7344F82D" wp14:editId="6F5E887D">
                      <wp:simplePos x="0" y="0"/>
                      <wp:positionH relativeFrom="column">
                        <wp:posOffset>-400050</wp:posOffset>
                      </wp:positionH>
                      <wp:positionV relativeFrom="paragraph">
                        <wp:posOffset>45720</wp:posOffset>
                      </wp:positionV>
                      <wp:extent cx="342900" cy="320040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32004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45718B6F" w14:textId="77777777" w:rsidR="00847F65" w:rsidRPr="00F44603" w:rsidRDefault="00847F65" w:rsidP="00847F65">
                                  <w:pPr>
                                    <w:jc w:val="center"/>
                                    <w:rPr>
                                      <w:sz w:val="28"/>
                                    </w:rPr>
                                  </w:pPr>
                                  <w:r w:rsidRPr="00F44603">
                                    <w:rPr>
                                      <w:sz w:val="28"/>
                                    </w:rPr>
                                    <w:t>Panel A: Full Containerization</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3" o:spid="_x0000_s1026" type="#_x0000_t202" style="position:absolute;left:0;text-align:left;margin-left:-31.45pt;margin-top:3.6pt;width:27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" filled="f" stroked="f">
                      <v:path arrowok="t"/>
                      <v:textbox style="layout-flow:vertical;mso-layout-flow-alt:bottom-to-top">
                        <w:txbxContent>
                          <w:p w14:paraId="45718B6F" w14:textId="77777777" w:rsidR="00847F65" w:rsidRPr="00F44603" w:rsidRDefault="00847F65" w:rsidP="00847F65">
                            <w:pPr>
                              <w:jc w:val="center"/>
                              <w:rPr>
                                <w:sz w:val="28"/>
                              </w:rPr>
                            </w:pPr>
                            <w:r w:rsidRPr="00F44603">
                              <w:rPr>
                                <w:sz w:val="28"/>
                              </w:rPr>
                              <w:t>Panel A: Full Containerization</w:t>
                            </w:r>
                          </w:p>
                        </w:txbxContent>
                      </v:textbox>
                    </v:shape>
                  </w:pict>
                </mc:Fallback>
              </mc:AlternateContent>
            </w:r>
          </w:p>
        </w:tc>
        <w:tc>
          <w:tcPr>
            <w:tcW w:w="1742" w:type="dxa"/>
            <w:tcBorders>
              <w:top w:val="nil"/>
              <w:left w:val="nil"/>
              <w:bottom w:val="nil"/>
              <w:right w:val="nil"/>
            </w:tcBorders>
            <w:shd w:val="clear" w:color="auto" w:fill="auto"/>
            <w:noWrap/>
            <w:vAlign w:val="center"/>
            <w:hideMark/>
          </w:tcPr>
          <w:p w14:paraId="74C5E8E5" w14:textId="77777777" w:rsidR="00847F65" w:rsidRPr="00847F65" w:rsidRDefault="00847F65" w:rsidP="00090E3A">
            <w:pPr>
              <w:jc w:val="center"/>
              <w:rPr>
                <w:color w:val="000000"/>
                <w:sz w:val="20"/>
                <w:szCs w:val="20"/>
              </w:rPr>
            </w:pPr>
            <w:r w:rsidRPr="00847F65">
              <w:rPr>
                <w:color w:val="000000"/>
                <w:sz w:val="20"/>
                <w:szCs w:val="20"/>
              </w:rPr>
              <w:t>(0.0195)</w:t>
            </w:r>
          </w:p>
        </w:tc>
        <w:tc>
          <w:tcPr>
            <w:tcW w:w="1742" w:type="dxa"/>
            <w:tcBorders>
              <w:top w:val="nil"/>
              <w:left w:val="nil"/>
              <w:bottom w:val="nil"/>
              <w:right w:val="nil"/>
            </w:tcBorders>
            <w:shd w:val="clear" w:color="auto" w:fill="auto"/>
            <w:noWrap/>
            <w:vAlign w:val="center"/>
            <w:hideMark/>
          </w:tcPr>
          <w:p w14:paraId="67849D23" w14:textId="77777777" w:rsidR="00847F65" w:rsidRPr="00847F65" w:rsidRDefault="00847F65" w:rsidP="00090E3A">
            <w:pPr>
              <w:jc w:val="center"/>
              <w:rPr>
                <w:color w:val="000000"/>
                <w:sz w:val="20"/>
                <w:szCs w:val="20"/>
              </w:rPr>
            </w:pPr>
            <w:r w:rsidRPr="00847F65">
              <w:rPr>
                <w:color w:val="000000"/>
                <w:sz w:val="20"/>
                <w:szCs w:val="20"/>
              </w:rPr>
              <w:t>(0.0196)</w:t>
            </w:r>
          </w:p>
        </w:tc>
        <w:tc>
          <w:tcPr>
            <w:tcW w:w="1415" w:type="dxa"/>
            <w:tcBorders>
              <w:top w:val="nil"/>
              <w:left w:val="nil"/>
              <w:bottom w:val="nil"/>
              <w:right w:val="nil"/>
            </w:tcBorders>
            <w:shd w:val="clear" w:color="auto" w:fill="auto"/>
            <w:noWrap/>
            <w:vAlign w:val="center"/>
            <w:hideMark/>
          </w:tcPr>
          <w:p w14:paraId="658D42F8" w14:textId="77777777" w:rsidR="00847F65" w:rsidRPr="00847F65" w:rsidRDefault="00847F65" w:rsidP="00090E3A">
            <w:pPr>
              <w:jc w:val="center"/>
              <w:rPr>
                <w:color w:val="000000"/>
                <w:sz w:val="20"/>
                <w:szCs w:val="20"/>
              </w:rPr>
            </w:pPr>
            <w:r w:rsidRPr="00847F65">
              <w:rPr>
                <w:color w:val="000000"/>
                <w:sz w:val="20"/>
                <w:szCs w:val="20"/>
              </w:rPr>
              <w:t>(0.018)</w:t>
            </w:r>
          </w:p>
        </w:tc>
        <w:tc>
          <w:tcPr>
            <w:tcW w:w="1742" w:type="dxa"/>
            <w:tcBorders>
              <w:top w:val="nil"/>
              <w:left w:val="single" w:sz="4" w:space="0" w:color="auto"/>
              <w:bottom w:val="nil"/>
              <w:right w:val="nil"/>
            </w:tcBorders>
            <w:shd w:val="clear" w:color="auto" w:fill="auto"/>
            <w:noWrap/>
            <w:vAlign w:val="center"/>
            <w:hideMark/>
          </w:tcPr>
          <w:p w14:paraId="774F1C93" w14:textId="77777777" w:rsidR="00847F65" w:rsidRPr="00847F65" w:rsidRDefault="00847F65" w:rsidP="00090E3A">
            <w:pPr>
              <w:jc w:val="center"/>
              <w:rPr>
                <w:color w:val="000000"/>
                <w:sz w:val="20"/>
                <w:szCs w:val="20"/>
              </w:rPr>
            </w:pPr>
            <w:r w:rsidRPr="00847F65">
              <w:rPr>
                <w:color w:val="000000"/>
                <w:sz w:val="20"/>
                <w:szCs w:val="20"/>
              </w:rPr>
              <w:t>(0.0204)</w:t>
            </w:r>
          </w:p>
        </w:tc>
        <w:tc>
          <w:tcPr>
            <w:tcW w:w="1407" w:type="dxa"/>
            <w:tcBorders>
              <w:top w:val="nil"/>
              <w:left w:val="nil"/>
              <w:bottom w:val="nil"/>
              <w:right w:val="nil"/>
            </w:tcBorders>
            <w:shd w:val="clear" w:color="auto" w:fill="auto"/>
            <w:noWrap/>
            <w:vAlign w:val="center"/>
            <w:hideMark/>
          </w:tcPr>
          <w:p w14:paraId="3108369A" w14:textId="77777777" w:rsidR="00847F65" w:rsidRPr="00847F65" w:rsidRDefault="00847F65" w:rsidP="00090E3A">
            <w:pPr>
              <w:jc w:val="center"/>
              <w:rPr>
                <w:color w:val="000000"/>
                <w:sz w:val="20"/>
                <w:szCs w:val="20"/>
              </w:rPr>
            </w:pPr>
            <w:r w:rsidRPr="00847F65">
              <w:rPr>
                <w:color w:val="000000"/>
                <w:sz w:val="20"/>
                <w:szCs w:val="20"/>
              </w:rPr>
              <w:t>(0.0187)</w:t>
            </w:r>
          </w:p>
        </w:tc>
      </w:tr>
      <w:tr w:rsidR="00847F65" w:rsidRPr="00847F65" w14:paraId="7F3495D0" w14:textId="77777777" w:rsidTr="00090E3A">
        <w:trPr>
          <w:trHeight w:val="300"/>
        </w:trPr>
        <w:tc>
          <w:tcPr>
            <w:tcW w:w="2142" w:type="dxa"/>
            <w:tcBorders>
              <w:top w:val="nil"/>
              <w:left w:val="nil"/>
              <w:bottom w:val="nil"/>
              <w:right w:val="nil"/>
            </w:tcBorders>
            <w:shd w:val="clear" w:color="auto" w:fill="auto"/>
            <w:noWrap/>
            <w:vAlign w:val="center"/>
            <w:hideMark/>
          </w:tcPr>
          <w:p w14:paraId="2606EC12" w14:textId="77777777" w:rsidR="00847F65" w:rsidRPr="00847F65" w:rsidRDefault="00847F65" w:rsidP="00090E3A">
            <w:pPr>
              <w:jc w:val="center"/>
              <w:rPr>
                <w:color w:val="000000"/>
                <w:sz w:val="20"/>
                <w:szCs w:val="20"/>
              </w:rPr>
            </w:pPr>
            <m:oMathPara>
              <m:oMathParaPr>
                <m:jc m:val="left"/>
              </m:oMathParaPr>
              <m:oMath>
                <m:r>
                  <m:rPr>
                    <m:sty m:val="p"/>
                  </m:rPr>
                  <w:rPr>
                    <w:rFonts w:ascii="Cambria Math" w:hAnsi="Cambria Math"/>
                    <w:color w:val="000000"/>
                    <w:sz w:val="20"/>
                    <w:szCs w:val="20"/>
                  </w:rPr>
                  <m:t xml:space="preserve">∆ </m:t>
                </m:r>
                <m:sSub>
                  <m:sSubPr>
                    <m:ctrlPr>
                      <w:rPr>
                        <w:rFonts w:ascii="Cambria Math" w:hAnsi="Cambria Math"/>
                        <w:color w:val="000000"/>
                        <w:sz w:val="20"/>
                        <w:szCs w:val="20"/>
                      </w:rPr>
                    </m:ctrlPr>
                  </m:sSubPr>
                  <m:e>
                    <m:r>
                      <m:rPr>
                        <m:sty m:val="p"/>
                      </m:rPr>
                      <w:rPr>
                        <w:rFonts w:ascii="Cambria Math" w:hAnsi="Cambria Math"/>
                        <w:color w:val="000000"/>
                        <w:sz w:val="20"/>
                        <w:szCs w:val="20"/>
                      </w:rPr>
                      <m:t>fta</m:t>
                    </m:r>
                  </m:e>
                  <m:sub>
                    <m:r>
                      <m:rPr>
                        <m:sty m:val="p"/>
                      </m:rPr>
                      <w:rPr>
                        <w:rFonts w:ascii="Cambria Math" w:hAnsi="Cambria Math"/>
                        <w:color w:val="000000"/>
                        <w:sz w:val="20"/>
                        <w:szCs w:val="20"/>
                      </w:rPr>
                      <m:t>ij,t-1</m:t>
                    </m:r>
                  </m:sub>
                </m:sSub>
              </m:oMath>
            </m:oMathPara>
          </w:p>
        </w:tc>
        <w:tc>
          <w:tcPr>
            <w:tcW w:w="1742" w:type="dxa"/>
            <w:tcBorders>
              <w:top w:val="nil"/>
              <w:left w:val="nil"/>
              <w:bottom w:val="nil"/>
              <w:right w:val="nil"/>
            </w:tcBorders>
            <w:shd w:val="clear" w:color="auto" w:fill="auto"/>
            <w:noWrap/>
            <w:vAlign w:val="center"/>
            <w:hideMark/>
          </w:tcPr>
          <w:p w14:paraId="729B47A0" w14:textId="77777777" w:rsidR="00847F65" w:rsidRPr="00847F65" w:rsidRDefault="00847F65" w:rsidP="00090E3A">
            <w:pPr>
              <w:jc w:val="center"/>
              <w:rPr>
                <w:color w:val="000000"/>
                <w:sz w:val="20"/>
                <w:szCs w:val="20"/>
              </w:rPr>
            </w:pPr>
            <w:r w:rsidRPr="00847F65">
              <w:rPr>
                <w:color w:val="000000"/>
                <w:sz w:val="20"/>
                <w:szCs w:val="20"/>
              </w:rPr>
              <w:t>0.123***</w:t>
            </w:r>
          </w:p>
        </w:tc>
        <w:tc>
          <w:tcPr>
            <w:tcW w:w="1742" w:type="dxa"/>
            <w:tcBorders>
              <w:top w:val="nil"/>
              <w:left w:val="nil"/>
              <w:bottom w:val="nil"/>
              <w:right w:val="nil"/>
            </w:tcBorders>
            <w:shd w:val="clear" w:color="auto" w:fill="auto"/>
            <w:noWrap/>
            <w:vAlign w:val="center"/>
            <w:hideMark/>
          </w:tcPr>
          <w:p w14:paraId="4A17C434" w14:textId="77777777" w:rsidR="00847F65" w:rsidRPr="00847F65" w:rsidRDefault="00847F65" w:rsidP="00090E3A">
            <w:pPr>
              <w:jc w:val="center"/>
              <w:rPr>
                <w:color w:val="000000"/>
                <w:sz w:val="20"/>
                <w:szCs w:val="20"/>
              </w:rPr>
            </w:pPr>
            <w:r w:rsidRPr="00847F65">
              <w:rPr>
                <w:color w:val="000000"/>
                <w:sz w:val="20"/>
                <w:szCs w:val="20"/>
              </w:rPr>
              <w:t>0.127***</w:t>
            </w:r>
          </w:p>
        </w:tc>
        <w:tc>
          <w:tcPr>
            <w:tcW w:w="1415" w:type="dxa"/>
            <w:tcBorders>
              <w:top w:val="nil"/>
              <w:left w:val="nil"/>
              <w:bottom w:val="nil"/>
              <w:right w:val="nil"/>
            </w:tcBorders>
            <w:shd w:val="clear" w:color="auto" w:fill="auto"/>
            <w:noWrap/>
            <w:vAlign w:val="center"/>
            <w:hideMark/>
          </w:tcPr>
          <w:p w14:paraId="0CCEDB21" w14:textId="77777777" w:rsidR="00847F65" w:rsidRPr="00847F65" w:rsidRDefault="00847F65" w:rsidP="00090E3A">
            <w:pPr>
              <w:jc w:val="center"/>
              <w:rPr>
                <w:color w:val="000000"/>
                <w:sz w:val="20"/>
                <w:szCs w:val="20"/>
              </w:rPr>
            </w:pPr>
            <w:r w:rsidRPr="00847F65">
              <w:rPr>
                <w:color w:val="000000"/>
                <w:sz w:val="20"/>
                <w:szCs w:val="20"/>
              </w:rPr>
              <w:t>0.120***</w:t>
            </w:r>
          </w:p>
        </w:tc>
        <w:tc>
          <w:tcPr>
            <w:tcW w:w="1742" w:type="dxa"/>
            <w:tcBorders>
              <w:top w:val="nil"/>
              <w:left w:val="single" w:sz="4" w:space="0" w:color="auto"/>
              <w:bottom w:val="nil"/>
              <w:right w:val="nil"/>
            </w:tcBorders>
            <w:shd w:val="clear" w:color="auto" w:fill="auto"/>
            <w:noWrap/>
            <w:vAlign w:val="center"/>
            <w:hideMark/>
          </w:tcPr>
          <w:p w14:paraId="76B94B77" w14:textId="77777777" w:rsidR="00847F65" w:rsidRPr="00847F65" w:rsidRDefault="00847F65" w:rsidP="00090E3A">
            <w:pPr>
              <w:jc w:val="center"/>
              <w:rPr>
                <w:color w:val="000000"/>
                <w:sz w:val="20"/>
                <w:szCs w:val="20"/>
              </w:rPr>
            </w:pPr>
            <w:r w:rsidRPr="00847F65">
              <w:rPr>
                <w:color w:val="000000"/>
                <w:sz w:val="20"/>
                <w:szCs w:val="20"/>
              </w:rPr>
              <w:t>0.117***</w:t>
            </w:r>
          </w:p>
        </w:tc>
        <w:tc>
          <w:tcPr>
            <w:tcW w:w="1407" w:type="dxa"/>
            <w:tcBorders>
              <w:top w:val="nil"/>
              <w:left w:val="nil"/>
              <w:bottom w:val="nil"/>
              <w:right w:val="nil"/>
            </w:tcBorders>
            <w:shd w:val="clear" w:color="auto" w:fill="auto"/>
            <w:noWrap/>
            <w:vAlign w:val="center"/>
            <w:hideMark/>
          </w:tcPr>
          <w:p w14:paraId="3D910333" w14:textId="77777777" w:rsidR="00847F65" w:rsidRPr="00847F65" w:rsidRDefault="00847F65" w:rsidP="00090E3A">
            <w:pPr>
              <w:jc w:val="center"/>
              <w:rPr>
                <w:color w:val="000000"/>
                <w:sz w:val="20"/>
                <w:szCs w:val="20"/>
              </w:rPr>
            </w:pPr>
            <w:r w:rsidRPr="00847F65">
              <w:rPr>
                <w:color w:val="000000"/>
                <w:sz w:val="20"/>
                <w:szCs w:val="20"/>
              </w:rPr>
              <w:t>0.111***</w:t>
            </w:r>
          </w:p>
        </w:tc>
      </w:tr>
      <w:tr w:rsidR="00847F65" w:rsidRPr="00847F65" w14:paraId="70FFC76A" w14:textId="77777777" w:rsidTr="00090E3A">
        <w:trPr>
          <w:trHeight w:val="300"/>
        </w:trPr>
        <w:tc>
          <w:tcPr>
            <w:tcW w:w="2142" w:type="dxa"/>
            <w:tcBorders>
              <w:top w:val="nil"/>
              <w:left w:val="nil"/>
              <w:bottom w:val="nil"/>
              <w:right w:val="nil"/>
            </w:tcBorders>
            <w:shd w:val="clear" w:color="auto" w:fill="auto"/>
            <w:noWrap/>
            <w:vAlign w:val="center"/>
            <w:hideMark/>
          </w:tcPr>
          <w:p w14:paraId="1F64480C" w14:textId="77777777" w:rsidR="00847F65" w:rsidRPr="00847F65" w:rsidRDefault="00847F65" w:rsidP="00090E3A">
            <w:pPr>
              <w:jc w:val="center"/>
              <w:rPr>
                <w:color w:val="000000"/>
                <w:sz w:val="20"/>
                <w:szCs w:val="20"/>
              </w:rPr>
            </w:pPr>
          </w:p>
        </w:tc>
        <w:tc>
          <w:tcPr>
            <w:tcW w:w="1742" w:type="dxa"/>
            <w:tcBorders>
              <w:top w:val="nil"/>
              <w:left w:val="nil"/>
              <w:bottom w:val="nil"/>
              <w:right w:val="nil"/>
            </w:tcBorders>
            <w:shd w:val="clear" w:color="auto" w:fill="auto"/>
            <w:noWrap/>
            <w:vAlign w:val="center"/>
            <w:hideMark/>
          </w:tcPr>
          <w:p w14:paraId="652CB505" w14:textId="77777777" w:rsidR="00847F65" w:rsidRPr="00847F65" w:rsidRDefault="00847F65" w:rsidP="00090E3A">
            <w:pPr>
              <w:jc w:val="center"/>
              <w:rPr>
                <w:color w:val="000000"/>
                <w:sz w:val="20"/>
                <w:szCs w:val="20"/>
              </w:rPr>
            </w:pPr>
            <w:r w:rsidRPr="00847F65">
              <w:rPr>
                <w:color w:val="000000"/>
                <w:sz w:val="20"/>
                <w:szCs w:val="20"/>
              </w:rPr>
              <w:t>(0.0135)</w:t>
            </w:r>
          </w:p>
        </w:tc>
        <w:tc>
          <w:tcPr>
            <w:tcW w:w="1742" w:type="dxa"/>
            <w:tcBorders>
              <w:top w:val="nil"/>
              <w:left w:val="nil"/>
              <w:bottom w:val="nil"/>
              <w:right w:val="nil"/>
            </w:tcBorders>
            <w:shd w:val="clear" w:color="auto" w:fill="auto"/>
            <w:noWrap/>
            <w:vAlign w:val="center"/>
            <w:hideMark/>
          </w:tcPr>
          <w:p w14:paraId="7F2977A6" w14:textId="77777777" w:rsidR="00847F65" w:rsidRPr="00847F65" w:rsidRDefault="00847F65" w:rsidP="00090E3A">
            <w:pPr>
              <w:jc w:val="center"/>
              <w:rPr>
                <w:color w:val="000000"/>
                <w:sz w:val="20"/>
                <w:szCs w:val="20"/>
              </w:rPr>
            </w:pPr>
            <w:r w:rsidRPr="00847F65">
              <w:rPr>
                <w:color w:val="000000"/>
                <w:sz w:val="20"/>
                <w:szCs w:val="20"/>
              </w:rPr>
              <w:t>(0.0135)</w:t>
            </w:r>
          </w:p>
        </w:tc>
        <w:tc>
          <w:tcPr>
            <w:tcW w:w="1415" w:type="dxa"/>
            <w:tcBorders>
              <w:top w:val="nil"/>
              <w:left w:val="nil"/>
              <w:bottom w:val="nil"/>
              <w:right w:val="nil"/>
            </w:tcBorders>
            <w:shd w:val="clear" w:color="auto" w:fill="auto"/>
            <w:noWrap/>
            <w:vAlign w:val="center"/>
            <w:hideMark/>
          </w:tcPr>
          <w:p w14:paraId="74E01EA7" w14:textId="77777777" w:rsidR="00847F65" w:rsidRPr="00847F65" w:rsidRDefault="00847F65" w:rsidP="00090E3A">
            <w:pPr>
              <w:jc w:val="center"/>
              <w:rPr>
                <w:color w:val="000000"/>
                <w:sz w:val="20"/>
                <w:szCs w:val="20"/>
              </w:rPr>
            </w:pPr>
            <w:r w:rsidRPr="00847F65">
              <w:rPr>
                <w:color w:val="000000"/>
                <w:sz w:val="20"/>
                <w:szCs w:val="20"/>
              </w:rPr>
              <w:t>(0.0124)</w:t>
            </w:r>
          </w:p>
        </w:tc>
        <w:tc>
          <w:tcPr>
            <w:tcW w:w="1742" w:type="dxa"/>
            <w:tcBorders>
              <w:top w:val="nil"/>
              <w:left w:val="single" w:sz="4" w:space="0" w:color="auto"/>
              <w:bottom w:val="nil"/>
              <w:right w:val="nil"/>
            </w:tcBorders>
            <w:shd w:val="clear" w:color="auto" w:fill="auto"/>
            <w:noWrap/>
            <w:vAlign w:val="center"/>
            <w:hideMark/>
          </w:tcPr>
          <w:p w14:paraId="5504D68A" w14:textId="77777777" w:rsidR="00847F65" w:rsidRPr="00847F65" w:rsidRDefault="00847F65" w:rsidP="00090E3A">
            <w:pPr>
              <w:jc w:val="center"/>
              <w:rPr>
                <w:color w:val="000000"/>
                <w:sz w:val="20"/>
                <w:szCs w:val="20"/>
              </w:rPr>
            </w:pPr>
            <w:r w:rsidRPr="00847F65">
              <w:rPr>
                <w:color w:val="000000"/>
                <w:sz w:val="20"/>
                <w:szCs w:val="20"/>
              </w:rPr>
              <w:t>(0.0143)</w:t>
            </w:r>
          </w:p>
        </w:tc>
        <w:tc>
          <w:tcPr>
            <w:tcW w:w="1407" w:type="dxa"/>
            <w:tcBorders>
              <w:top w:val="nil"/>
              <w:left w:val="nil"/>
              <w:bottom w:val="nil"/>
              <w:right w:val="nil"/>
            </w:tcBorders>
            <w:shd w:val="clear" w:color="auto" w:fill="auto"/>
            <w:noWrap/>
            <w:vAlign w:val="center"/>
            <w:hideMark/>
          </w:tcPr>
          <w:p w14:paraId="35A75F4C" w14:textId="77777777" w:rsidR="00847F65" w:rsidRPr="00847F65" w:rsidRDefault="00847F65" w:rsidP="00090E3A">
            <w:pPr>
              <w:jc w:val="center"/>
              <w:rPr>
                <w:color w:val="000000"/>
                <w:sz w:val="20"/>
                <w:szCs w:val="20"/>
              </w:rPr>
            </w:pPr>
            <w:r w:rsidRPr="00847F65">
              <w:rPr>
                <w:color w:val="000000"/>
                <w:sz w:val="20"/>
                <w:szCs w:val="20"/>
              </w:rPr>
              <w:t>(0.013)</w:t>
            </w:r>
          </w:p>
        </w:tc>
      </w:tr>
      <w:tr w:rsidR="00847F65" w:rsidRPr="00847F65" w14:paraId="3CE68898" w14:textId="77777777" w:rsidTr="00090E3A">
        <w:trPr>
          <w:trHeight w:val="300"/>
        </w:trPr>
        <w:tc>
          <w:tcPr>
            <w:tcW w:w="2142" w:type="dxa"/>
            <w:tcBorders>
              <w:top w:val="nil"/>
              <w:left w:val="nil"/>
              <w:bottom w:val="nil"/>
              <w:right w:val="nil"/>
            </w:tcBorders>
            <w:shd w:val="clear" w:color="auto" w:fill="auto"/>
            <w:noWrap/>
            <w:vAlign w:val="center"/>
            <w:hideMark/>
          </w:tcPr>
          <w:p w14:paraId="1F92216D" w14:textId="77777777" w:rsidR="00847F65" w:rsidRPr="00847F65" w:rsidRDefault="00847F65" w:rsidP="00090E3A">
            <w:pPr>
              <w:jc w:val="center"/>
              <w:rPr>
                <w:color w:val="000000"/>
                <w:sz w:val="20"/>
                <w:szCs w:val="20"/>
              </w:rPr>
            </w:pPr>
            <m:oMathPara>
              <m:oMathParaPr>
                <m:jc m:val="left"/>
              </m:oMathParaPr>
              <m:oMath>
                <m:r>
                  <w:rPr>
                    <w:rFonts w:ascii="Cambria Math" w:hAnsi="Cambria Math"/>
                    <w:color w:val="000000"/>
                    <w:sz w:val="20"/>
                    <w:szCs w:val="20"/>
                  </w:rPr>
                  <m:t xml:space="preserve">∆ </m:t>
                </m:r>
                <m:sSub>
                  <m:sSubPr>
                    <m:ctrlPr>
                      <w:rPr>
                        <w:rFonts w:ascii="Cambria Math" w:hAnsi="Cambria Math"/>
                        <w:i/>
                        <w:color w:val="000000"/>
                        <w:sz w:val="20"/>
                        <w:szCs w:val="20"/>
                      </w:rPr>
                    </m:ctrlPr>
                  </m:sSubPr>
                  <m:e>
                    <m:r>
                      <w:rPr>
                        <w:rFonts w:ascii="Cambria Math" w:hAnsi="Cambria Math"/>
                        <w:color w:val="000000"/>
                        <w:sz w:val="20"/>
                        <w:szCs w:val="20"/>
                      </w:rPr>
                      <m:t>fta</m:t>
                    </m:r>
                  </m:e>
                  <m:sub>
                    <m:r>
                      <w:rPr>
                        <w:rFonts w:ascii="Cambria Math" w:hAnsi="Cambria Math"/>
                        <w:color w:val="000000"/>
                        <w:sz w:val="20"/>
                        <w:szCs w:val="20"/>
                      </w:rPr>
                      <m:t>ij,t-2</m:t>
                    </m:r>
                  </m:sub>
                </m:sSub>
              </m:oMath>
            </m:oMathPara>
          </w:p>
        </w:tc>
        <w:tc>
          <w:tcPr>
            <w:tcW w:w="1742" w:type="dxa"/>
            <w:tcBorders>
              <w:top w:val="nil"/>
              <w:left w:val="nil"/>
              <w:bottom w:val="nil"/>
              <w:right w:val="nil"/>
            </w:tcBorders>
            <w:shd w:val="clear" w:color="auto" w:fill="auto"/>
            <w:noWrap/>
            <w:vAlign w:val="center"/>
            <w:hideMark/>
          </w:tcPr>
          <w:p w14:paraId="44190613" w14:textId="77777777" w:rsidR="00847F65" w:rsidRPr="00847F65" w:rsidRDefault="00847F65" w:rsidP="00090E3A">
            <w:pPr>
              <w:jc w:val="center"/>
              <w:rPr>
                <w:color w:val="000000"/>
                <w:sz w:val="20"/>
                <w:szCs w:val="20"/>
              </w:rPr>
            </w:pPr>
            <w:r w:rsidRPr="00847F65">
              <w:rPr>
                <w:color w:val="000000"/>
                <w:sz w:val="20"/>
                <w:szCs w:val="20"/>
              </w:rPr>
              <w:t>0.055***</w:t>
            </w:r>
          </w:p>
        </w:tc>
        <w:tc>
          <w:tcPr>
            <w:tcW w:w="1742" w:type="dxa"/>
            <w:tcBorders>
              <w:top w:val="nil"/>
              <w:left w:val="nil"/>
              <w:bottom w:val="nil"/>
              <w:right w:val="nil"/>
            </w:tcBorders>
            <w:shd w:val="clear" w:color="auto" w:fill="auto"/>
            <w:noWrap/>
            <w:vAlign w:val="center"/>
            <w:hideMark/>
          </w:tcPr>
          <w:p w14:paraId="0F0AD894" w14:textId="77777777" w:rsidR="00847F65" w:rsidRPr="00847F65" w:rsidRDefault="00847F65" w:rsidP="00090E3A">
            <w:pPr>
              <w:jc w:val="center"/>
              <w:rPr>
                <w:color w:val="000000"/>
                <w:sz w:val="20"/>
                <w:szCs w:val="20"/>
              </w:rPr>
            </w:pPr>
            <w:r w:rsidRPr="00847F65">
              <w:rPr>
                <w:color w:val="000000"/>
                <w:sz w:val="20"/>
                <w:szCs w:val="20"/>
              </w:rPr>
              <w:t>0.055***</w:t>
            </w:r>
          </w:p>
        </w:tc>
        <w:tc>
          <w:tcPr>
            <w:tcW w:w="1415" w:type="dxa"/>
            <w:tcBorders>
              <w:top w:val="nil"/>
              <w:left w:val="nil"/>
              <w:bottom w:val="nil"/>
              <w:right w:val="nil"/>
            </w:tcBorders>
            <w:shd w:val="clear" w:color="auto" w:fill="auto"/>
            <w:noWrap/>
            <w:vAlign w:val="center"/>
            <w:hideMark/>
          </w:tcPr>
          <w:p w14:paraId="2E2358CB" w14:textId="77777777" w:rsidR="00847F65" w:rsidRPr="00847F65" w:rsidRDefault="00847F65" w:rsidP="00090E3A">
            <w:pPr>
              <w:jc w:val="center"/>
              <w:rPr>
                <w:color w:val="000000"/>
                <w:sz w:val="20"/>
                <w:szCs w:val="20"/>
              </w:rPr>
            </w:pPr>
            <w:r w:rsidRPr="00847F65">
              <w:rPr>
                <w:color w:val="000000"/>
                <w:sz w:val="20"/>
                <w:szCs w:val="20"/>
              </w:rPr>
              <w:t>0.047***</w:t>
            </w:r>
          </w:p>
        </w:tc>
        <w:tc>
          <w:tcPr>
            <w:tcW w:w="1742" w:type="dxa"/>
            <w:tcBorders>
              <w:top w:val="nil"/>
              <w:left w:val="single" w:sz="4" w:space="0" w:color="auto"/>
              <w:bottom w:val="nil"/>
              <w:right w:val="nil"/>
            </w:tcBorders>
            <w:shd w:val="clear" w:color="auto" w:fill="auto"/>
            <w:noWrap/>
            <w:vAlign w:val="center"/>
            <w:hideMark/>
          </w:tcPr>
          <w:p w14:paraId="1D1231F9" w14:textId="77777777" w:rsidR="00847F65" w:rsidRPr="00847F65" w:rsidRDefault="00847F65" w:rsidP="00090E3A">
            <w:pPr>
              <w:jc w:val="center"/>
              <w:rPr>
                <w:color w:val="000000"/>
                <w:sz w:val="20"/>
                <w:szCs w:val="20"/>
              </w:rPr>
            </w:pPr>
            <w:r w:rsidRPr="00847F65">
              <w:rPr>
                <w:color w:val="000000"/>
                <w:sz w:val="20"/>
                <w:szCs w:val="20"/>
              </w:rPr>
              <w:t>0.051***</w:t>
            </w:r>
          </w:p>
        </w:tc>
        <w:tc>
          <w:tcPr>
            <w:tcW w:w="1407" w:type="dxa"/>
            <w:tcBorders>
              <w:top w:val="nil"/>
              <w:left w:val="nil"/>
              <w:bottom w:val="nil"/>
              <w:right w:val="nil"/>
            </w:tcBorders>
            <w:shd w:val="clear" w:color="auto" w:fill="auto"/>
            <w:noWrap/>
            <w:vAlign w:val="center"/>
            <w:hideMark/>
          </w:tcPr>
          <w:p w14:paraId="5E13E935" w14:textId="77777777" w:rsidR="00847F65" w:rsidRPr="00847F65" w:rsidRDefault="00847F65" w:rsidP="00090E3A">
            <w:pPr>
              <w:jc w:val="center"/>
              <w:rPr>
                <w:color w:val="000000"/>
                <w:sz w:val="20"/>
                <w:szCs w:val="20"/>
              </w:rPr>
            </w:pPr>
            <w:r w:rsidRPr="00847F65">
              <w:rPr>
                <w:color w:val="000000"/>
                <w:sz w:val="20"/>
                <w:szCs w:val="20"/>
              </w:rPr>
              <w:t>0.043***</w:t>
            </w:r>
          </w:p>
        </w:tc>
      </w:tr>
      <w:tr w:rsidR="00847F65" w:rsidRPr="00847F65" w14:paraId="3A74A93B" w14:textId="77777777" w:rsidTr="00090E3A">
        <w:trPr>
          <w:trHeight w:val="300"/>
        </w:trPr>
        <w:tc>
          <w:tcPr>
            <w:tcW w:w="2142" w:type="dxa"/>
            <w:tcBorders>
              <w:top w:val="nil"/>
              <w:left w:val="nil"/>
              <w:bottom w:val="nil"/>
              <w:right w:val="nil"/>
            </w:tcBorders>
            <w:shd w:val="clear" w:color="auto" w:fill="auto"/>
            <w:noWrap/>
            <w:vAlign w:val="center"/>
            <w:hideMark/>
          </w:tcPr>
          <w:p w14:paraId="73131019" w14:textId="77777777" w:rsidR="00847F65" w:rsidRPr="00847F65" w:rsidRDefault="00847F65" w:rsidP="00090E3A">
            <w:pPr>
              <w:jc w:val="center"/>
              <w:rPr>
                <w:color w:val="000000"/>
                <w:sz w:val="20"/>
                <w:szCs w:val="20"/>
              </w:rPr>
            </w:pPr>
          </w:p>
        </w:tc>
        <w:tc>
          <w:tcPr>
            <w:tcW w:w="1742" w:type="dxa"/>
            <w:tcBorders>
              <w:top w:val="nil"/>
              <w:left w:val="nil"/>
              <w:bottom w:val="nil"/>
              <w:right w:val="nil"/>
            </w:tcBorders>
            <w:shd w:val="clear" w:color="auto" w:fill="auto"/>
            <w:noWrap/>
            <w:vAlign w:val="center"/>
            <w:hideMark/>
          </w:tcPr>
          <w:p w14:paraId="3D5D89F7" w14:textId="77777777" w:rsidR="00847F65" w:rsidRPr="00847F65" w:rsidRDefault="00847F65" w:rsidP="00090E3A">
            <w:pPr>
              <w:jc w:val="center"/>
              <w:rPr>
                <w:color w:val="000000"/>
                <w:sz w:val="20"/>
                <w:szCs w:val="20"/>
              </w:rPr>
            </w:pPr>
            <w:r w:rsidRPr="00847F65">
              <w:rPr>
                <w:color w:val="000000"/>
                <w:sz w:val="20"/>
                <w:szCs w:val="20"/>
              </w:rPr>
              <w:t>(0.0155)</w:t>
            </w:r>
          </w:p>
        </w:tc>
        <w:tc>
          <w:tcPr>
            <w:tcW w:w="1742" w:type="dxa"/>
            <w:tcBorders>
              <w:top w:val="nil"/>
              <w:left w:val="nil"/>
              <w:bottom w:val="nil"/>
              <w:right w:val="nil"/>
            </w:tcBorders>
            <w:shd w:val="clear" w:color="auto" w:fill="auto"/>
            <w:noWrap/>
            <w:vAlign w:val="center"/>
            <w:hideMark/>
          </w:tcPr>
          <w:p w14:paraId="48829E60" w14:textId="77777777" w:rsidR="00847F65" w:rsidRPr="00847F65" w:rsidRDefault="00847F65" w:rsidP="00090E3A">
            <w:pPr>
              <w:jc w:val="center"/>
              <w:rPr>
                <w:color w:val="000000"/>
                <w:sz w:val="20"/>
                <w:szCs w:val="20"/>
              </w:rPr>
            </w:pPr>
            <w:r w:rsidRPr="00847F65">
              <w:rPr>
                <w:color w:val="000000"/>
                <w:sz w:val="20"/>
                <w:szCs w:val="20"/>
              </w:rPr>
              <w:t>(0.0155)</w:t>
            </w:r>
          </w:p>
        </w:tc>
        <w:tc>
          <w:tcPr>
            <w:tcW w:w="1415" w:type="dxa"/>
            <w:tcBorders>
              <w:top w:val="nil"/>
              <w:left w:val="nil"/>
              <w:bottom w:val="nil"/>
              <w:right w:val="nil"/>
            </w:tcBorders>
            <w:shd w:val="clear" w:color="auto" w:fill="auto"/>
            <w:noWrap/>
            <w:vAlign w:val="center"/>
            <w:hideMark/>
          </w:tcPr>
          <w:p w14:paraId="560293F4" w14:textId="77777777" w:rsidR="00847F65" w:rsidRPr="00847F65" w:rsidRDefault="00847F65" w:rsidP="00090E3A">
            <w:pPr>
              <w:jc w:val="center"/>
              <w:rPr>
                <w:color w:val="000000"/>
                <w:sz w:val="20"/>
                <w:szCs w:val="20"/>
              </w:rPr>
            </w:pPr>
            <w:r w:rsidRPr="00847F65">
              <w:rPr>
                <w:color w:val="000000"/>
                <w:sz w:val="20"/>
                <w:szCs w:val="20"/>
              </w:rPr>
              <w:t>(0.0141)</w:t>
            </w:r>
          </w:p>
        </w:tc>
        <w:tc>
          <w:tcPr>
            <w:tcW w:w="1742" w:type="dxa"/>
            <w:tcBorders>
              <w:top w:val="nil"/>
              <w:left w:val="single" w:sz="4" w:space="0" w:color="auto"/>
              <w:bottom w:val="nil"/>
              <w:right w:val="nil"/>
            </w:tcBorders>
            <w:shd w:val="clear" w:color="auto" w:fill="auto"/>
            <w:noWrap/>
            <w:vAlign w:val="center"/>
            <w:hideMark/>
          </w:tcPr>
          <w:p w14:paraId="3BF2D1A1" w14:textId="77777777" w:rsidR="00847F65" w:rsidRPr="00847F65" w:rsidRDefault="00847F65" w:rsidP="00090E3A">
            <w:pPr>
              <w:jc w:val="center"/>
              <w:rPr>
                <w:color w:val="000000"/>
                <w:sz w:val="20"/>
                <w:szCs w:val="20"/>
              </w:rPr>
            </w:pPr>
            <w:r w:rsidRPr="00847F65">
              <w:rPr>
                <w:color w:val="000000"/>
                <w:sz w:val="20"/>
                <w:szCs w:val="20"/>
              </w:rPr>
              <w:t>(0.0156)</w:t>
            </w:r>
          </w:p>
        </w:tc>
        <w:tc>
          <w:tcPr>
            <w:tcW w:w="1407" w:type="dxa"/>
            <w:tcBorders>
              <w:top w:val="nil"/>
              <w:left w:val="nil"/>
              <w:bottom w:val="nil"/>
              <w:right w:val="nil"/>
            </w:tcBorders>
            <w:shd w:val="clear" w:color="auto" w:fill="auto"/>
            <w:noWrap/>
            <w:vAlign w:val="center"/>
            <w:hideMark/>
          </w:tcPr>
          <w:p w14:paraId="6D60ED18" w14:textId="77777777" w:rsidR="00847F65" w:rsidRPr="00847F65" w:rsidRDefault="00847F65" w:rsidP="00090E3A">
            <w:pPr>
              <w:jc w:val="center"/>
              <w:rPr>
                <w:color w:val="000000"/>
                <w:sz w:val="20"/>
                <w:szCs w:val="20"/>
              </w:rPr>
            </w:pPr>
            <w:r w:rsidRPr="00847F65">
              <w:rPr>
                <w:color w:val="000000"/>
                <w:sz w:val="20"/>
                <w:szCs w:val="20"/>
              </w:rPr>
              <w:t>(0.0141)</w:t>
            </w:r>
          </w:p>
        </w:tc>
      </w:tr>
      <w:tr w:rsidR="00847F65" w:rsidRPr="00847F65" w14:paraId="6264FED7" w14:textId="77777777" w:rsidTr="00090E3A">
        <w:trPr>
          <w:trHeight w:val="300"/>
        </w:trPr>
        <w:tc>
          <w:tcPr>
            <w:tcW w:w="2142" w:type="dxa"/>
            <w:tcBorders>
              <w:top w:val="nil"/>
              <w:left w:val="nil"/>
              <w:bottom w:val="nil"/>
              <w:right w:val="nil"/>
            </w:tcBorders>
            <w:shd w:val="clear" w:color="auto" w:fill="auto"/>
            <w:noWrap/>
            <w:vAlign w:val="center"/>
            <w:hideMark/>
          </w:tcPr>
          <w:p w14:paraId="288D0B7C" w14:textId="77777777" w:rsidR="00847F65" w:rsidRPr="00847F65" w:rsidRDefault="00847F65" w:rsidP="00090E3A">
            <w:pPr>
              <w:jc w:val="center"/>
              <w:rPr>
                <w:color w:val="000000"/>
                <w:sz w:val="20"/>
                <w:szCs w:val="20"/>
              </w:rPr>
            </w:pPr>
            <m:oMathPara>
              <m:oMathParaPr>
                <m:jc m:val="left"/>
              </m:oMathParaPr>
              <m:oMath>
                <m:r>
                  <w:rPr>
                    <w:rFonts w:ascii="Cambria Math" w:hAnsi="Cambria Math"/>
                    <w:color w:val="000000"/>
                    <w:sz w:val="20"/>
                    <w:szCs w:val="20"/>
                  </w:rPr>
                  <m:t xml:space="preserve">∆ </m:t>
                </m:r>
                <m:sSub>
                  <m:sSubPr>
                    <m:ctrlPr>
                      <w:rPr>
                        <w:rFonts w:ascii="Cambria Math" w:hAnsi="Cambria Math"/>
                        <w:i/>
                        <w:color w:val="000000"/>
                        <w:sz w:val="20"/>
                        <w:szCs w:val="20"/>
                      </w:rPr>
                    </m:ctrlPr>
                  </m:sSubPr>
                  <m:e>
                    <m:r>
                      <w:rPr>
                        <w:rFonts w:ascii="Cambria Math" w:hAnsi="Cambria Math"/>
                        <w:color w:val="000000"/>
                        <w:sz w:val="20"/>
                        <w:szCs w:val="20"/>
                      </w:rPr>
                      <m:t>fta</m:t>
                    </m:r>
                  </m:e>
                  <m:sub>
                    <m:r>
                      <w:rPr>
                        <w:rFonts w:ascii="Cambria Math" w:hAnsi="Cambria Math"/>
                        <w:color w:val="000000"/>
                        <w:sz w:val="20"/>
                        <w:szCs w:val="20"/>
                      </w:rPr>
                      <m:t>ij,t-3</m:t>
                    </m:r>
                  </m:sub>
                </m:sSub>
              </m:oMath>
            </m:oMathPara>
          </w:p>
        </w:tc>
        <w:tc>
          <w:tcPr>
            <w:tcW w:w="1742" w:type="dxa"/>
            <w:tcBorders>
              <w:top w:val="nil"/>
              <w:left w:val="nil"/>
              <w:bottom w:val="nil"/>
              <w:right w:val="nil"/>
            </w:tcBorders>
            <w:shd w:val="clear" w:color="auto" w:fill="auto"/>
            <w:noWrap/>
            <w:vAlign w:val="center"/>
            <w:hideMark/>
          </w:tcPr>
          <w:p w14:paraId="45FE5FB9" w14:textId="77777777" w:rsidR="00847F65" w:rsidRPr="00847F65" w:rsidRDefault="00847F65" w:rsidP="00090E3A">
            <w:pPr>
              <w:jc w:val="center"/>
              <w:rPr>
                <w:color w:val="000000"/>
                <w:sz w:val="20"/>
                <w:szCs w:val="20"/>
              </w:rPr>
            </w:pPr>
            <w:r w:rsidRPr="00847F65">
              <w:rPr>
                <w:color w:val="000000"/>
                <w:sz w:val="20"/>
                <w:szCs w:val="20"/>
              </w:rPr>
              <w:t>-0.040***</w:t>
            </w:r>
          </w:p>
        </w:tc>
        <w:tc>
          <w:tcPr>
            <w:tcW w:w="1742" w:type="dxa"/>
            <w:tcBorders>
              <w:top w:val="nil"/>
              <w:left w:val="nil"/>
              <w:bottom w:val="nil"/>
              <w:right w:val="nil"/>
            </w:tcBorders>
            <w:shd w:val="clear" w:color="auto" w:fill="auto"/>
            <w:noWrap/>
            <w:vAlign w:val="center"/>
            <w:hideMark/>
          </w:tcPr>
          <w:p w14:paraId="4AAB2794" w14:textId="77777777" w:rsidR="00847F65" w:rsidRPr="00847F65" w:rsidRDefault="00847F65" w:rsidP="00090E3A">
            <w:pPr>
              <w:jc w:val="center"/>
              <w:rPr>
                <w:color w:val="000000"/>
                <w:sz w:val="20"/>
                <w:szCs w:val="20"/>
              </w:rPr>
            </w:pPr>
            <w:r w:rsidRPr="00847F65">
              <w:rPr>
                <w:color w:val="000000"/>
                <w:sz w:val="20"/>
                <w:szCs w:val="20"/>
              </w:rPr>
              <w:t>-0.040***</w:t>
            </w:r>
          </w:p>
        </w:tc>
        <w:tc>
          <w:tcPr>
            <w:tcW w:w="1415" w:type="dxa"/>
            <w:tcBorders>
              <w:top w:val="nil"/>
              <w:left w:val="nil"/>
              <w:bottom w:val="nil"/>
              <w:right w:val="nil"/>
            </w:tcBorders>
            <w:shd w:val="clear" w:color="auto" w:fill="auto"/>
            <w:noWrap/>
            <w:vAlign w:val="center"/>
            <w:hideMark/>
          </w:tcPr>
          <w:p w14:paraId="231A3DC5" w14:textId="77777777" w:rsidR="00847F65" w:rsidRPr="00847F65" w:rsidRDefault="00847F65" w:rsidP="00090E3A">
            <w:pPr>
              <w:jc w:val="center"/>
              <w:rPr>
                <w:color w:val="000000"/>
                <w:sz w:val="20"/>
                <w:szCs w:val="20"/>
              </w:rPr>
            </w:pPr>
            <w:r w:rsidRPr="00847F65">
              <w:rPr>
                <w:color w:val="000000"/>
                <w:sz w:val="20"/>
                <w:szCs w:val="20"/>
              </w:rPr>
              <w:t>-0.042***</w:t>
            </w:r>
          </w:p>
        </w:tc>
        <w:tc>
          <w:tcPr>
            <w:tcW w:w="1742" w:type="dxa"/>
            <w:tcBorders>
              <w:top w:val="nil"/>
              <w:left w:val="single" w:sz="4" w:space="0" w:color="auto"/>
              <w:bottom w:val="nil"/>
              <w:right w:val="nil"/>
            </w:tcBorders>
            <w:shd w:val="clear" w:color="auto" w:fill="auto"/>
            <w:noWrap/>
            <w:vAlign w:val="center"/>
            <w:hideMark/>
          </w:tcPr>
          <w:p w14:paraId="40C082B6" w14:textId="77777777" w:rsidR="00847F65" w:rsidRPr="00847F65" w:rsidRDefault="00847F65" w:rsidP="00090E3A">
            <w:pPr>
              <w:jc w:val="center"/>
              <w:rPr>
                <w:color w:val="000000"/>
                <w:sz w:val="20"/>
                <w:szCs w:val="20"/>
              </w:rPr>
            </w:pPr>
            <w:r w:rsidRPr="00847F65">
              <w:rPr>
                <w:color w:val="000000"/>
                <w:sz w:val="20"/>
                <w:szCs w:val="20"/>
              </w:rPr>
              <w:t>-0.041***</w:t>
            </w:r>
          </w:p>
        </w:tc>
        <w:tc>
          <w:tcPr>
            <w:tcW w:w="1407" w:type="dxa"/>
            <w:tcBorders>
              <w:top w:val="nil"/>
              <w:left w:val="nil"/>
              <w:bottom w:val="nil"/>
              <w:right w:val="nil"/>
            </w:tcBorders>
            <w:shd w:val="clear" w:color="auto" w:fill="auto"/>
            <w:noWrap/>
            <w:vAlign w:val="center"/>
            <w:hideMark/>
          </w:tcPr>
          <w:p w14:paraId="34635948" w14:textId="77777777" w:rsidR="00847F65" w:rsidRPr="00847F65" w:rsidRDefault="00847F65" w:rsidP="00090E3A">
            <w:pPr>
              <w:jc w:val="center"/>
              <w:rPr>
                <w:color w:val="000000"/>
                <w:sz w:val="20"/>
                <w:szCs w:val="20"/>
              </w:rPr>
            </w:pPr>
            <w:r w:rsidRPr="00847F65">
              <w:rPr>
                <w:color w:val="000000"/>
                <w:sz w:val="20"/>
                <w:szCs w:val="20"/>
              </w:rPr>
              <w:t>-0.042***</w:t>
            </w:r>
          </w:p>
        </w:tc>
      </w:tr>
      <w:tr w:rsidR="00847F65" w:rsidRPr="00847F65" w14:paraId="50EE9BBB" w14:textId="77777777" w:rsidTr="00090E3A">
        <w:trPr>
          <w:trHeight w:val="300"/>
        </w:trPr>
        <w:tc>
          <w:tcPr>
            <w:tcW w:w="2142" w:type="dxa"/>
            <w:tcBorders>
              <w:top w:val="nil"/>
              <w:left w:val="nil"/>
              <w:bottom w:val="nil"/>
              <w:right w:val="nil"/>
            </w:tcBorders>
            <w:shd w:val="clear" w:color="auto" w:fill="auto"/>
            <w:noWrap/>
            <w:vAlign w:val="center"/>
            <w:hideMark/>
          </w:tcPr>
          <w:p w14:paraId="57915638" w14:textId="77777777" w:rsidR="00847F65" w:rsidRPr="00847F65" w:rsidRDefault="00847F65" w:rsidP="00090E3A">
            <w:pPr>
              <w:jc w:val="center"/>
              <w:rPr>
                <w:color w:val="000000"/>
                <w:sz w:val="20"/>
                <w:szCs w:val="20"/>
              </w:rPr>
            </w:pPr>
          </w:p>
        </w:tc>
        <w:tc>
          <w:tcPr>
            <w:tcW w:w="1742" w:type="dxa"/>
            <w:tcBorders>
              <w:top w:val="nil"/>
              <w:left w:val="nil"/>
              <w:bottom w:val="nil"/>
              <w:right w:val="nil"/>
            </w:tcBorders>
            <w:shd w:val="clear" w:color="auto" w:fill="auto"/>
            <w:noWrap/>
            <w:vAlign w:val="center"/>
            <w:hideMark/>
          </w:tcPr>
          <w:p w14:paraId="7DA5938F" w14:textId="77777777" w:rsidR="00847F65" w:rsidRPr="00847F65" w:rsidRDefault="00847F65" w:rsidP="00090E3A">
            <w:pPr>
              <w:jc w:val="center"/>
              <w:rPr>
                <w:color w:val="000000"/>
                <w:sz w:val="20"/>
                <w:szCs w:val="20"/>
              </w:rPr>
            </w:pPr>
            <w:r w:rsidRPr="00847F65">
              <w:rPr>
                <w:color w:val="000000"/>
                <w:sz w:val="20"/>
                <w:szCs w:val="20"/>
              </w:rPr>
              <w:t>(0.0158)</w:t>
            </w:r>
          </w:p>
        </w:tc>
        <w:tc>
          <w:tcPr>
            <w:tcW w:w="1742" w:type="dxa"/>
            <w:tcBorders>
              <w:top w:val="nil"/>
              <w:left w:val="nil"/>
              <w:bottom w:val="nil"/>
              <w:right w:val="nil"/>
            </w:tcBorders>
            <w:shd w:val="clear" w:color="auto" w:fill="auto"/>
            <w:noWrap/>
            <w:vAlign w:val="center"/>
            <w:hideMark/>
          </w:tcPr>
          <w:p w14:paraId="541AC065" w14:textId="77777777" w:rsidR="00847F65" w:rsidRPr="00847F65" w:rsidRDefault="00847F65" w:rsidP="00090E3A">
            <w:pPr>
              <w:jc w:val="center"/>
              <w:rPr>
                <w:color w:val="000000"/>
                <w:sz w:val="20"/>
                <w:szCs w:val="20"/>
              </w:rPr>
            </w:pPr>
            <w:r w:rsidRPr="00847F65">
              <w:rPr>
                <w:color w:val="000000"/>
                <w:sz w:val="20"/>
                <w:szCs w:val="20"/>
              </w:rPr>
              <w:t>(0.0158)</w:t>
            </w:r>
          </w:p>
        </w:tc>
        <w:tc>
          <w:tcPr>
            <w:tcW w:w="1415" w:type="dxa"/>
            <w:tcBorders>
              <w:top w:val="nil"/>
              <w:left w:val="nil"/>
              <w:bottom w:val="nil"/>
              <w:right w:val="nil"/>
            </w:tcBorders>
            <w:shd w:val="clear" w:color="auto" w:fill="auto"/>
            <w:noWrap/>
            <w:vAlign w:val="center"/>
            <w:hideMark/>
          </w:tcPr>
          <w:p w14:paraId="2153CED1" w14:textId="77777777" w:rsidR="00847F65" w:rsidRPr="00847F65" w:rsidRDefault="00847F65" w:rsidP="00090E3A">
            <w:pPr>
              <w:jc w:val="center"/>
              <w:rPr>
                <w:color w:val="000000"/>
                <w:sz w:val="20"/>
                <w:szCs w:val="20"/>
              </w:rPr>
            </w:pPr>
            <w:r w:rsidRPr="00847F65">
              <w:rPr>
                <w:color w:val="000000"/>
                <w:sz w:val="20"/>
                <w:szCs w:val="20"/>
              </w:rPr>
              <w:t>(0.0158)</w:t>
            </w:r>
          </w:p>
        </w:tc>
        <w:tc>
          <w:tcPr>
            <w:tcW w:w="1742" w:type="dxa"/>
            <w:tcBorders>
              <w:top w:val="nil"/>
              <w:left w:val="single" w:sz="4" w:space="0" w:color="auto"/>
              <w:bottom w:val="nil"/>
              <w:right w:val="nil"/>
            </w:tcBorders>
            <w:shd w:val="clear" w:color="auto" w:fill="auto"/>
            <w:noWrap/>
            <w:vAlign w:val="center"/>
            <w:hideMark/>
          </w:tcPr>
          <w:p w14:paraId="2731DF86" w14:textId="77777777" w:rsidR="00847F65" w:rsidRPr="00847F65" w:rsidRDefault="00847F65" w:rsidP="00090E3A">
            <w:pPr>
              <w:jc w:val="center"/>
              <w:rPr>
                <w:color w:val="000000"/>
                <w:sz w:val="20"/>
                <w:szCs w:val="20"/>
              </w:rPr>
            </w:pPr>
            <w:r w:rsidRPr="00847F65">
              <w:rPr>
                <w:color w:val="000000"/>
                <w:sz w:val="20"/>
                <w:szCs w:val="20"/>
              </w:rPr>
              <w:t>(0.0173)</w:t>
            </w:r>
          </w:p>
        </w:tc>
        <w:tc>
          <w:tcPr>
            <w:tcW w:w="1407" w:type="dxa"/>
            <w:tcBorders>
              <w:top w:val="nil"/>
              <w:left w:val="nil"/>
              <w:bottom w:val="nil"/>
              <w:right w:val="nil"/>
            </w:tcBorders>
            <w:shd w:val="clear" w:color="auto" w:fill="auto"/>
            <w:noWrap/>
            <w:vAlign w:val="center"/>
            <w:hideMark/>
          </w:tcPr>
          <w:p w14:paraId="3F58E8FA" w14:textId="77777777" w:rsidR="00847F65" w:rsidRPr="00847F65" w:rsidRDefault="00847F65" w:rsidP="00090E3A">
            <w:pPr>
              <w:jc w:val="center"/>
              <w:rPr>
                <w:color w:val="000000"/>
                <w:sz w:val="20"/>
                <w:szCs w:val="20"/>
              </w:rPr>
            </w:pPr>
            <w:r w:rsidRPr="00847F65">
              <w:rPr>
                <w:color w:val="000000"/>
                <w:sz w:val="20"/>
                <w:szCs w:val="20"/>
              </w:rPr>
              <w:t>(0.0157)</w:t>
            </w:r>
          </w:p>
        </w:tc>
      </w:tr>
      <w:tr w:rsidR="00847F65" w:rsidRPr="00847F65" w14:paraId="16E33ADB" w14:textId="77777777" w:rsidTr="00090E3A">
        <w:trPr>
          <w:trHeight w:val="300"/>
        </w:trPr>
        <w:tc>
          <w:tcPr>
            <w:tcW w:w="2142" w:type="dxa"/>
            <w:tcBorders>
              <w:top w:val="nil"/>
              <w:left w:val="nil"/>
              <w:bottom w:val="nil"/>
              <w:right w:val="nil"/>
            </w:tcBorders>
            <w:shd w:val="clear" w:color="auto" w:fill="auto"/>
            <w:noWrap/>
            <w:vAlign w:val="center"/>
            <w:hideMark/>
          </w:tcPr>
          <w:p w14:paraId="6CD937C3" w14:textId="77777777" w:rsidR="00847F65" w:rsidRPr="00847F65" w:rsidRDefault="00847F65" w:rsidP="00090E3A">
            <w:pPr>
              <w:jc w:val="center"/>
              <w:rPr>
                <w:color w:val="000000"/>
                <w:sz w:val="20"/>
                <w:szCs w:val="20"/>
              </w:rPr>
            </w:pPr>
            <m:oMathPara>
              <m:oMathParaPr>
                <m:jc m:val="left"/>
              </m:oMathParaPr>
              <m:oMath>
                <m:r>
                  <w:rPr>
                    <w:rFonts w:ascii="Cambria Math" w:hAnsi="Cambria Math"/>
                    <w:color w:val="000000"/>
                    <w:sz w:val="20"/>
                    <w:szCs w:val="20"/>
                  </w:rPr>
                  <m:t xml:space="preserve">∆ </m:t>
                </m:r>
                <m:sSub>
                  <m:sSubPr>
                    <m:ctrlPr>
                      <w:rPr>
                        <w:rFonts w:ascii="Cambria Math" w:hAnsi="Cambria Math"/>
                        <w:i/>
                        <w:color w:val="000000"/>
                        <w:sz w:val="20"/>
                        <w:szCs w:val="20"/>
                      </w:rPr>
                    </m:ctrlPr>
                  </m:sSubPr>
                  <m:e>
                    <m:r>
                      <w:rPr>
                        <w:rFonts w:ascii="Cambria Math" w:hAnsi="Cambria Math"/>
                        <w:color w:val="000000"/>
                        <w:sz w:val="20"/>
                        <w:szCs w:val="20"/>
                      </w:rPr>
                      <m:t>fta</m:t>
                    </m:r>
                  </m:e>
                  <m:sub>
                    <m:r>
                      <w:rPr>
                        <w:rFonts w:ascii="Cambria Math" w:hAnsi="Cambria Math"/>
                        <w:color w:val="000000"/>
                        <w:sz w:val="20"/>
                        <w:szCs w:val="20"/>
                      </w:rPr>
                      <m:t>ij,t+1</m:t>
                    </m:r>
                  </m:sub>
                </m:sSub>
              </m:oMath>
            </m:oMathPara>
          </w:p>
        </w:tc>
        <w:tc>
          <w:tcPr>
            <w:tcW w:w="1742" w:type="dxa"/>
            <w:tcBorders>
              <w:top w:val="nil"/>
              <w:left w:val="nil"/>
              <w:bottom w:val="nil"/>
              <w:right w:val="nil"/>
            </w:tcBorders>
            <w:shd w:val="clear" w:color="auto" w:fill="auto"/>
            <w:noWrap/>
            <w:vAlign w:val="center"/>
            <w:hideMark/>
          </w:tcPr>
          <w:p w14:paraId="643D2415" w14:textId="77777777" w:rsidR="00847F65" w:rsidRPr="00847F65" w:rsidRDefault="00847F65" w:rsidP="00090E3A">
            <w:pPr>
              <w:jc w:val="center"/>
              <w:rPr>
                <w:color w:val="000000"/>
                <w:sz w:val="20"/>
                <w:szCs w:val="20"/>
              </w:rPr>
            </w:pPr>
          </w:p>
        </w:tc>
        <w:tc>
          <w:tcPr>
            <w:tcW w:w="1742" w:type="dxa"/>
            <w:tcBorders>
              <w:top w:val="nil"/>
              <w:left w:val="nil"/>
              <w:bottom w:val="nil"/>
              <w:right w:val="nil"/>
            </w:tcBorders>
            <w:shd w:val="clear" w:color="auto" w:fill="auto"/>
            <w:noWrap/>
            <w:vAlign w:val="center"/>
            <w:hideMark/>
          </w:tcPr>
          <w:p w14:paraId="189E175E" w14:textId="77777777" w:rsidR="00847F65" w:rsidRPr="00847F65" w:rsidRDefault="00847F65" w:rsidP="00090E3A">
            <w:pPr>
              <w:jc w:val="center"/>
              <w:rPr>
                <w:color w:val="000000"/>
                <w:sz w:val="20"/>
                <w:szCs w:val="20"/>
              </w:rPr>
            </w:pPr>
            <w:r w:rsidRPr="00847F65">
              <w:rPr>
                <w:color w:val="000000"/>
                <w:sz w:val="20"/>
                <w:szCs w:val="20"/>
              </w:rPr>
              <w:t>0.087***</w:t>
            </w:r>
          </w:p>
        </w:tc>
        <w:tc>
          <w:tcPr>
            <w:tcW w:w="1415" w:type="dxa"/>
            <w:tcBorders>
              <w:top w:val="nil"/>
              <w:left w:val="nil"/>
              <w:bottom w:val="nil"/>
              <w:right w:val="nil"/>
            </w:tcBorders>
            <w:shd w:val="clear" w:color="auto" w:fill="auto"/>
            <w:noWrap/>
            <w:vAlign w:val="center"/>
            <w:hideMark/>
          </w:tcPr>
          <w:p w14:paraId="03F32D8B" w14:textId="77777777" w:rsidR="00847F65" w:rsidRPr="00847F65" w:rsidRDefault="00847F65" w:rsidP="00090E3A">
            <w:pPr>
              <w:jc w:val="center"/>
              <w:rPr>
                <w:color w:val="000000"/>
                <w:sz w:val="20"/>
                <w:szCs w:val="20"/>
              </w:rPr>
            </w:pPr>
            <w:r w:rsidRPr="00847F65">
              <w:rPr>
                <w:color w:val="000000"/>
                <w:sz w:val="20"/>
                <w:szCs w:val="20"/>
              </w:rPr>
              <w:t>0.079***</w:t>
            </w:r>
          </w:p>
        </w:tc>
        <w:tc>
          <w:tcPr>
            <w:tcW w:w="1742" w:type="dxa"/>
            <w:tcBorders>
              <w:top w:val="nil"/>
              <w:left w:val="single" w:sz="4" w:space="0" w:color="auto"/>
              <w:bottom w:val="nil"/>
              <w:right w:val="nil"/>
            </w:tcBorders>
            <w:shd w:val="clear" w:color="auto" w:fill="auto"/>
            <w:noWrap/>
            <w:vAlign w:val="center"/>
            <w:hideMark/>
          </w:tcPr>
          <w:p w14:paraId="2326F069" w14:textId="77777777" w:rsidR="00847F65" w:rsidRPr="00847F65" w:rsidRDefault="00847F65" w:rsidP="00090E3A">
            <w:pPr>
              <w:jc w:val="center"/>
              <w:rPr>
                <w:color w:val="000000"/>
                <w:sz w:val="20"/>
                <w:szCs w:val="20"/>
              </w:rPr>
            </w:pPr>
            <w:r w:rsidRPr="00847F65">
              <w:rPr>
                <w:color w:val="000000"/>
                <w:sz w:val="20"/>
                <w:szCs w:val="20"/>
              </w:rPr>
              <w:t>0.110***</w:t>
            </w:r>
          </w:p>
        </w:tc>
        <w:tc>
          <w:tcPr>
            <w:tcW w:w="1407" w:type="dxa"/>
            <w:tcBorders>
              <w:top w:val="nil"/>
              <w:left w:val="nil"/>
              <w:bottom w:val="nil"/>
              <w:right w:val="nil"/>
            </w:tcBorders>
            <w:shd w:val="clear" w:color="auto" w:fill="auto"/>
            <w:noWrap/>
            <w:vAlign w:val="center"/>
            <w:hideMark/>
          </w:tcPr>
          <w:p w14:paraId="27E1A77D" w14:textId="77777777" w:rsidR="00847F65" w:rsidRPr="00847F65" w:rsidRDefault="00847F65" w:rsidP="00090E3A">
            <w:pPr>
              <w:jc w:val="center"/>
              <w:rPr>
                <w:color w:val="000000"/>
                <w:sz w:val="20"/>
                <w:szCs w:val="20"/>
              </w:rPr>
            </w:pPr>
            <w:r w:rsidRPr="00847F65">
              <w:rPr>
                <w:color w:val="000000"/>
                <w:sz w:val="20"/>
                <w:szCs w:val="20"/>
              </w:rPr>
              <w:t>0.108***</w:t>
            </w:r>
          </w:p>
        </w:tc>
      </w:tr>
      <w:tr w:rsidR="00847F65" w:rsidRPr="00847F65" w14:paraId="1EFF9045" w14:textId="77777777" w:rsidTr="00090E3A">
        <w:trPr>
          <w:trHeight w:val="300"/>
        </w:trPr>
        <w:tc>
          <w:tcPr>
            <w:tcW w:w="2142" w:type="dxa"/>
            <w:tcBorders>
              <w:top w:val="nil"/>
              <w:left w:val="nil"/>
              <w:bottom w:val="nil"/>
              <w:right w:val="nil"/>
            </w:tcBorders>
            <w:shd w:val="clear" w:color="auto" w:fill="auto"/>
            <w:noWrap/>
            <w:vAlign w:val="center"/>
            <w:hideMark/>
          </w:tcPr>
          <w:p w14:paraId="2655B23C" w14:textId="77777777" w:rsidR="00847F65" w:rsidRPr="00847F65" w:rsidRDefault="00847F65" w:rsidP="00090E3A">
            <w:pPr>
              <w:jc w:val="center"/>
              <w:rPr>
                <w:color w:val="000000"/>
                <w:sz w:val="20"/>
                <w:szCs w:val="20"/>
              </w:rPr>
            </w:pPr>
          </w:p>
        </w:tc>
        <w:tc>
          <w:tcPr>
            <w:tcW w:w="1742" w:type="dxa"/>
            <w:tcBorders>
              <w:top w:val="nil"/>
              <w:left w:val="nil"/>
              <w:bottom w:val="nil"/>
              <w:right w:val="nil"/>
            </w:tcBorders>
            <w:shd w:val="clear" w:color="auto" w:fill="auto"/>
            <w:noWrap/>
            <w:vAlign w:val="center"/>
            <w:hideMark/>
          </w:tcPr>
          <w:p w14:paraId="40A376FF" w14:textId="77777777" w:rsidR="00847F65" w:rsidRPr="00847F65" w:rsidRDefault="00847F65" w:rsidP="00090E3A">
            <w:pPr>
              <w:jc w:val="center"/>
              <w:rPr>
                <w:color w:val="000000"/>
                <w:sz w:val="20"/>
                <w:szCs w:val="20"/>
              </w:rPr>
            </w:pPr>
          </w:p>
        </w:tc>
        <w:tc>
          <w:tcPr>
            <w:tcW w:w="1742" w:type="dxa"/>
            <w:tcBorders>
              <w:top w:val="nil"/>
              <w:left w:val="nil"/>
              <w:bottom w:val="nil"/>
              <w:right w:val="nil"/>
            </w:tcBorders>
            <w:shd w:val="clear" w:color="auto" w:fill="auto"/>
            <w:noWrap/>
            <w:vAlign w:val="center"/>
            <w:hideMark/>
          </w:tcPr>
          <w:p w14:paraId="5A18EE40" w14:textId="77777777" w:rsidR="00847F65" w:rsidRPr="00847F65" w:rsidRDefault="00847F65" w:rsidP="00090E3A">
            <w:pPr>
              <w:jc w:val="center"/>
              <w:rPr>
                <w:color w:val="000000"/>
                <w:sz w:val="20"/>
                <w:szCs w:val="20"/>
              </w:rPr>
            </w:pPr>
            <w:r w:rsidRPr="00847F65">
              <w:rPr>
                <w:color w:val="000000"/>
                <w:sz w:val="20"/>
                <w:szCs w:val="20"/>
              </w:rPr>
              <w:t>(0.021)</w:t>
            </w:r>
          </w:p>
        </w:tc>
        <w:tc>
          <w:tcPr>
            <w:tcW w:w="1415" w:type="dxa"/>
            <w:tcBorders>
              <w:top w:val="nil"/>
              <w:left w:val="nil"/>
              <w:bottom w:val="nil"/>
              <w:right w:val="nil"/>
            </w:tcBorders>
            <w:shd w:val="clear" w:color="auto" w:fill="auto"/>
            <w:noWrap/>
            <w:vAlign w:val="center"/>
            <w:hideMark/>
          </w:tcPr>
          <w:p w14:paraId="0978F062" w14:textId="77777777" w:rsidR="00847F65" w:rsidRPr="00847F65" w:rsidRDefault="00847F65" w:rsidP="00090E3A">
            <w:pPr>
              <w:jc w:val="center"/>
              <w:rPr>
                <w:color w:val="000000"/>
                <w:sz w:val="20"/>
                <w:szCs w:val="20"/>
              </w:rPr>
            </w:pPr>
            <w:r w:rsidRPr="00847F65">
              <w:rPr>
                <w:color w:val="000000"/>
                <w:sz w:val="20"/>
                <w:szCs w:val="20"/>
              </w:rPr>
              <w:t>(0.0195)</w:t>
            </w:r>
          </w:p>
        </w:tc>
        <w:tc>
          <w:tcPr>
            <w:tcW w:w="1742" w:type="dxa"/>
            <w:tcBorders>
              <w:top w:val="nil"/>
              <w:left w:val="single" w:sz="4" w:space="0" w:color="auto"/>
              <w:bottom w:val="nil"/>
              <w:right w:val="nil"/>
            </w:tcBorders>
            <w:shd w:val="clear" w:color="auto" w:fill="auto"/>
            <w:noWrap/>
            <w:vAlign w:val="center"/>
            <w:hideMark/>
          </w:tcPr>
          <w:p w14:paraId="7FAA9EFD" w14:textId="77777777" w:rsidR="00847F65" w:rsidRPr="00847F65" w:rsidRDefault="00847F65" w:rsidP="00090E3A">
            <w:pPr>
              <w:jc w:val="center"/>
              <w:rPr>
                <w:color w:val="000000"/>
                <w:sz w:val="20"/>
                <w:szCs w:val="20"/>
              </w:rPr>
            </w:pPr>
            <w:r w:rsidRPr="00847F65">
              <w:rPr>
                <w:color w:val="000000"/>
                <w:sz w:val="20"/>
                <w:szCs w:val="20"/>
              </w:rPr>
              <w:t>(0.0234)</w:t>
            </w:r>
          </w:p>
        </w:tc>
        <w:tc>
          <w:tcPr>
            <w:tcW w:w="1407" w:type="dxa"/>
            <w:tcBorders>
              <w:top w:val="nil"/>
              <w:left w:val="nil"/>
              <w:bottom w:val="nil"/>
              <w:right w:val="nil"/>
            </w:tcBorders>
            <w:shd w:val="clear" w:color="auto" w:fill="auto"/>
            <w:noWrap/>
            <w:vAlign w:val="center"/>
            <w:hideMark/>
          </w:tcPr>
          <w:p w14:paraId="4FA24360" w14:textId="77777777" w:rsidR="00847F65" w:rsidRPr="00847F65" w:rsidRDefault="00847F65" w:rsidP="00090E3A">
            <w:pPr>
              <w:jc w:val="center"/>
              <w:rPr>
                <w:color w:val="000000"/>
                <w:sz w:val="20"/>
                <w:szCs w:val="20"/>
              </w:rPr>
            </w:pPr>
            <w:r w:rsidRPr="00847F65">
              <w:rPr>
                <w:color w:val="000000"/>
                <w:sz w:val="20"/>
                <w:szCs w:val="20"/>
              </w:rPr>
              <w:t>(0.0215)</w:t>
            </w:r>
          </w:p>
        </w:tc>
      </w:tr>
      <w:tr w:rsidR="00847F65" w:rsidRPr="00847F65" w14:paraId="712BB1F4" w14:textId="77777777" w:rsidTr="00090E3A">
        <w:trPr>
          <w:trHeight w:val="300"/>
        </w:trPr>
        <w:tc>
          <w:tcPr>
            <w:tcW w:w="2142" w:type="dxa"/>
            <w:tcBorders>
              <w:top w:val="nil"/>
              <w:left w:val="nil"/>
              <w:bottom w:val="nil"/>
              <w:right w:val="nil"/>
            </w:tcBorders>
            <w:shd w:val="clear" w:color="auto" w:fill="auto"/>
            <w:noWrap/>
            <w:vAlign w:val="center"/>
            <w:hideMark/>
          </w:tcPr>
          <w:p w14:paraId="4D4E6B1A" w14:textId="77777777" w:rsidR="00847F65" w:rsidRPr="00847F65" w:rsidRDefault="00847F65" w:rsidP="00090E3A">
            <w:pPr>
              <w:jc w:val="center"/>
              <w:rPr>
                <w:color w:val="000000"/>
                <w:sz w:val="20"/>
                <w:szCs w:val="20"/>
              </w:rPr>
            </w:pPr>
            <m:oMathPara>
              <m:oMathParaPr>
                <m:jc m:val="left"/>
              </m:oMathParaPr>
              <m:oMath>
                <m:r>
                  <w:rPr>
                    <w:rFonts w:ascii="Cambria Math" w:hAnsi="Cambria Math"/>
                    <w:color w:val="000000"/>
                    <w:sz w:val="20"/>
                    <w:szCs w:val="20"/>
                  </w:rPr>
                  <m:t xml:space="preserve">∆ </m:t>
                </m:r>
                <m:sSub>
                  <m:sSubPr>
                    <m:ctrlPr>
                      <w:rPr>
                        <w:rFonts w:ascii="Cambria Math" w:hAnsi="Cambria Math"/>
                        <w:i/>
                        <w:color w:val="000000"/>
                        <w:sz w:val="20"/>
                        <w:szCs w:val="20"/>
                      </w:rPr>
                    </m:ctrlPr>
                  </m:sSubPr>
                  <m:e>
                    <m:r>
                      <w:rPr>
                        <w:rFonts w:ascii="Cambria Math" w:hAnsi="Cambria Math"/>
                        <w:color w:val="000000"/>
                        <w:sz w:val="20"/>
                        <w:szCs w:val="20"/>
                      </w:rPr>
                      <m:t>GATT</m:t>
                    </m:r>
                  </m:e>
                  <m:sub>
                    <m:r>
                      <w:rPr>
                        <w:rFonts w:ascii="Cambria Math" w:hAnsi="Cambria Math"/>
                        <w:color w:val="000000"/>
                        <w:sz w:val="20"/>
                        <w:szCs w:val="20"/>
                      </w:rPr>
                      <m:t>ij,t</m:t>
                    </m:r>
                  </m:sub>
                </m:sSub>
              </m:oMath>
            </m:oMathPara>
          </w:p>
        </w:tc>
        <w:tc>
          <w:tcPr>
            <w:tcW w:w="1742" w:type="dxa"/>
            <w:tcBorders>
              <w:top w:val="nil"/>
              <w:left w:val="nil"/>
              <w:bottom w:val="nil"/>
              <w:right w:val="nil"/>
            </w:tcBorders>
            <w:shd w:val="clear" w:color="auto" w:fill="auto"/>
            <w:noWrap/>
            <w:vAlign w:val="center"/>
            <w:hideMark/>
          </w:tcPr>
          <w:p w14:paraId="546F9B96" w14:textId="77777777" w:rsidR="00847F65" w:rsidRPr="00847F65" w:rsidRDefault="00847F65" w:rsidP="00090E3A">
            <w:pPr>
              <w:jc w:val="center"/>
              <w:rPr>
                <w:color w:val="000000"/>
                <w:sz w:val="20"/>
                <w:szCs w:val="20"/>
              </w:rPr>
            </w:pPr>
            <w:r w:rsidRPr="00847F65">
              <w:rPr>
                <w:color w:val="000000"/>
                <w:sz w:val="20"/>
                <w:szCs w:val="20"/>
              </w:rPr>
              <w:t>0.653***</w:t>
            </w:r>
          </w:p>
        </w:tc>
        <w:tc>
          <w:tcPr>
            <w:tcW w:w="1742" w:type="dxa"/>
            <w:tcBorders>
              <w:top w:val="nil"/>
              <w:left w:val="nil"/>
              <w:bottom w:val="nil"/>
              <w:right w:val="nil"/>
            </w:tcBorders>
            <w:shd w:val="clear" w:color="auto" w:fill="auto"/>
            <w:noWrap/>
            <w:vAlign w:val="center"/>
            <w:hideMark/>
          </w:tcPr>
          <w:p w14:paraId="58B0ACD9" w14:textId="77777777" w:rsidR="00847F65" w:rsidRPr="00847F65" w:rsidRDefault="00847F65" w:rsidP="00090E3A">
            <w:pPr>
              <w:jc w:val="center"/>
              <w:rPr>
                <w:color w:val="000000"/>
                <w:sz w:val="20"/>
                <w:szCs w:val="20"/>
              </w:rPr>
            </w:pPr>
            <w:r w:rsidRPr="00847F65">
              <w:rPr>
                <w:color w:val="000000"/>
                <w:sz w:val="20"/>
                <w:szCs w:val="20"/>
              </w:rPr>
              <w:t>0.654***</w:t>
            </w:r>
          </w:p>
        </w:tc>
        <w:tc>
          <w:tcPr>
            <w:tcW w:w="1415" w:type="dxa"/>
            <w:tcBorders>
              <w:top w:val="nil"/>
              <w:left w:val="nil"/>
              <w:bottom w:val="nil"/>
              <w:right w:val="nil"/>
            </w:tcBorders>
            <w:shd w:val="clear" w:color="auto" w:fill="auto"/>
            <w:noWrap/>
            <w:vAlign w:val="center"/>
            <w:hideMark/>
          </w:tcPr>
          <w:p w14:paraId="0CE3D521" w14:textId="77777777" w:rsidR="00847F65" w:rsidRPr="00847F65" w:rsidRDefault="00847F65" w:rsidP="00090E3A">
            <w:pPr>
              <w:jc w:val="center"/>
              <w:rPr>
                <w:color w:val="000000"/>
                <w:sz w:val="20"/>
                <w:szCs w:val="20"/>
              </w:rPr>
            </w:pPr>
            <w:r w:rsidRPr="00847F65">
              <w:rPr>
                <w:color w:val="000000"/>
                <w:sz w:val="20"/>
                <w:szCs w:val="20"/>
              </w:rPr>
              <w:t>0.846***</w:t>
            </w:r>
          </w:p>
        </w:tc>
        <w:tc>
          <w:tcPr>
            <w:tcW w:w="1742" w:type="dxa"/>
            <w:tcBorders>
              <w:top w:val="nil"/>
              <w:left w:val="single" w:sz="4" w:space="0" w:color="auto"/>
              <w:bottom w:val="nil"/>
              <w:right w:val="nil"/>
            </w:tcBorders>
            <w:shd w:val="clear" w:color="auto" w:fill="auto"/>
            <w:noWrap/>
            <w:vAlign w:val="center"/>
            <w:hideMark/>
          </w:tcPr>
          <w:p w14:paraId="1B7413BB" w14:textId="77777777" w:rsidR="00847F65" w:rsidRPr="00847F65" w:rsidRDefault="00847F65" w:rsidP="00090E3A">
            <w:pPr>
              <w:jc w:val="center"/>
              <w:rPr>
                <w:color w:val="000000"/>
                <w:sz w:val="20"/>
                <w:szCs w:val="20"/>
              </w:rPr>
            </w:pPr>
            <w:r w:rsidRPr="00847F65">
              <w:rPr>
                <w:color w:val="000000"/>
                <w:sz w:val="20"/>
                <w:szCs w:val="20"/>
              </w:rPr>
              <w:t>0.641***</w:t>
            </w:r>
          </w:p>
        </w:tc>
        <w:tc>
          <w:tcPr>
            <w:tcW w:w="1407" w:type="dxa"/>
            <w:tcBorders>
              <w:top w:val="nil"/>
              <w:left w:val="nil"/>
              <w:bottom w:val="nil"/>
              <w:right w:val="nil"/>
            </w:tcBorders>
            <w:shd w:val="clear" w:color="auto" w:fill="auto"/>
            <w:noWrap/>
            <w:vAlign w:val="center"/>
            <w:hideMark/>
          </w:tcPr>
          <w:p w14:paraId="4F259E03" w14:textId="77777777" w:rsidR="00847F65" w:rsidRPr="00847F65" w:rsidRDefault="00847F65" w:rsidP="00090E3A">
            <w:pPr>
              <w:jc w:val="center"/>
              <w:rPr>
                <w:color w:val="000000"/>
                <w:sz w:val="20"/>
                <w:szCs w:val="20"/>
              </w:rPr>
            </w:pPr>
            <w:r w:rsidRPr="00847F65">
              <w:rPr>
                <w:color w:val="000000"/>
                <w:sz w:val="20"/>
                <w:szCs w:val="20"/>
              </w:rPr>
              <w:t>0.868***</w:t>
            </w:r>
          </w:p>
        </w:tc>
      </w:tr>
      <w:tr w:rsidR="00847F65" w:rsidRPr="00847F65" w14:paraId="612732D7" w14:textId="77777777" w:rsidTr="00090E3A">
        <w:trPr>
          <w:trHeight w:val="300"/>
        </w:trPr>
        <w:tc>
          <w:tcPr>
            <w:tcW w:w="2142" w:type="dxa"/>
            <w:tcBorders>
              <w:top w:val="nil"/>
              <w:left w:val="nil"/>
              <w:bottom w:val="nil"/>
              <w:right w:val="nil"/>
            </w:tcBorders>
            <w:shd w:val="clear" w:color="auto" w:fill="auto"/>
            <w:noWrap/>
            <w:vAlign w:val="center"/>
            <w:hideMark/>
          </w:tcPr>
          <w:p w14:paraId="3456C7D1" w14:textId="77777777" w:rsidR="00847F65" w:rsidRPr="00847F65" w:rsidRDefault="00847F65" w:rsidP="00090E3A">
            <w:pPr>
              <w:jc w:val="center"/>
              <w:rPr>
                <w:color w:val="000000"/>
                <w:sz w:val="20"/>
                <w:szCs w:val="20"/>
              </w:rPr>
            </w:pPr>
          </w:p>
        </w:tc>
        <w:tc>
          <w:tcPr>
            <w:tcW w:w="1742" w:type="dxa"/>
            <w:tcBorders>
              <w:top w:val="nil"/>
              <w:left w:val="nil"/>
              <w:bottom w:val="nil"/>
              <w:right w:val="nil"/>
            </w:tcBorders>
            <w:shd w:val="clear" w:color="auto" w:fill="auto"/>
            <w:noWrap/>
            <w:vAlign w:val="center"/>
            <w:hideMark/>
          </w:tcPr>
          <w:p w14:paraId="003C5F3E" w14:textId="77777777" w:rsidR="00847F65" w:rsidRPr="00847F65" w:rsidRDefault="00847F65" w:rsidP="00090E3A">
            <w:pPr>
              <w:jc w:val="center"/>
              <w:rPr>
                <w:color w:val="000000"/>
                <w:sz w:val="20"/>
                <w:szCs w:val="20"/>
              </w:rPr>
            </w:pPr>
            <w:r w:rsidRPr="00847F65">
              <w:rPr>
                <w:color w:val="000000"/>
                <w:sz w:val="20"/>
                <w:szCs w:val="20"/>
              </w:rPr>
              <w:t>(0.0931)</w:t>
            </w:r>
          </w:p>
        </w:tc>
        <w:tc>
          <w:tcPr>
            <w:tcW w:w="1742" w:type="dxa"/>
            <w:tcBorders>
              <w:top w:val="nil"/>
              <w:left w:val="nil"/>
              <w:bottom w:val="nil"/>
              <w:right w:val="nil"/>
            </w:tcBorders>
            <w:shd w:val="clear" w:color="auto" w:fill="auto"/>
            <w:noWrap/>
            <w:vAlign w:val="center"/>
            <w:hideMark/>
          </w:tcPr>
          <w:p w14:paraId="271E777C" w14:textId="77777777" w:rsidR="00847F65" w:rsidRPr="00847F65" w:rsidRDefault="00847F65" w:rsidP="00090E3A">
            <w:pPr>
              <w:jc w:val="center"/>
              <w:rPr>
                <w:color w:val="000000"/>
                <w:sz w:val="20"/>
                <w:szCs w:val="20"/>
              </w:rPr>
            </w:pPr>
            <w:r w:rsidRPr="00847F65">
              <w:rPr>
                <w:color w:val="000000"/>
                <w:sz w:val="20"/>
                <w:szCs w:val="20"/>
              </w:rPr>
              <w:t>(0.0931)</w:t>
            </w:r>
          </w:p>
        </w:tc>
        <w:tc>
          <w:tcPr>
            <w:tcW w:w="1415" w:type="dxa"/>
            <w:tcBorders>
              <w:top w:val="nil"/>
              <w:left w:val="nil"/>
              <w:bottom w:val="nil"/>
              <w:right w:val="nil"/>
            </w:tcBorders>
            <w:shd w:val="clear" w:color="auto" w:fill="auto"/>
            <w:noWrap/>
            <w:vAlign w:val="center"/>
            <w:hideMark/>
          </w:tcPr>
          <w:p w14:paraId="56DA9F19" w14:textId="77777777" w:rsidR="00847F65" w:rsidRPr="00847F65" w:rsidRDefault="00847F65" w:rsidP="00090E3A">
            <w:pPr>
              <w:jc w:val="center"/>
              <w:rPr>
                <w:color w:val="000000"/>
                <w:sz w:val="20"/>
                <w:szCs w:val="20"/>
              </w:rPr>
            </w:pPr>
            <w:r w:rsidRPr="00847F65">
              <w:rPr>
                <w:color w:val="000000"/>
                <w:sz w:val="20"/>
                <w:szCs w:val="20"/>
              </w:rPr>
              <w:t>(0.0817)</w:t>
            </w:r>
          </w:p>
        </w:tc>
        <w:tc>
          <w:tcPr>
            <w:tcW w:w="1742" w:type="dxa"/>
            <w:tcBorders>
              <w:top w:val="nil"/>
              <w:left w:val="single" w:sz="4" w:space="0" w:color="auto"/>
              <w:bottom w:val="nil"/>
              <w:right w:val="nil"/>
            </w:tcBorders>
            <w:shd w:val="clear" w:color="auto" w:fill="auto"/>
            <w:noWrap/>
            <w:vAlign w:val="center"/>
            <w:hideMark/>
          </w:tcPr>
          <w:p w14:paraId="1C165C26" w14:textId="77777777" w:rsidR="00847F65" w:rsidRPr="00847F65" w:rsidRDefault="00847F65" w:rsidP="00090E3A">
            <w:pPr>
              <w:jc w:val="center"/>
              <w:rPr>
                <w:color w:val="000000"/>
                <w:sz w:val="20"/>
                <w:szCs w:val="20"/>
              </w:rPr>
            </w:pPr>
            <w:r w:rsidRPr="00847F65">
              <w:rPr>
                <w:color w:val="000000"/>
                <w:sz w:val="20"/>
                <w:szCs w:val="20"/>
              </w:rPr>
              <w:t>(0.098)</w:t>
            </w:r>
          </w:p>
        </w:tc>
        <w:tc>
          <w:tcPr>
            <w:tcW w:w="1407" w:type="dxa"/>
            <w:tcBorders>
              <w:top w:val="nil"/>
              <w:left w:val="nil"/>
              <w:bottom w:val="nil"/>
              <w:right w:val="nil"/>
            </w:tcBorders>
            <w:shd w:val="clear" w:color="auto" w:fill="auto"/>
            <w:noWrap/>
            <w:vAlign w:val="center"/>
            <w:hideMark/>
          </w:tcPr>
          <w:p w14:paraId="20D9DE05" w14:textId="77777777" w:rsidR="00847F65" w:rsidRPr="00847F65" w:rsidRDefault="00847F65" w:rsidP="00090E3A">
            <w:pPr>
              <w:jc w:val="center"/>
              <w:rPr>
                <w:color w:val="000000"/>
                <w:sz w:val="20"/>
                <w:szCs w:val="20"/>
              </w:rPr>
            </w:pPr>
            <w:r w:rsidRPr="00847F65">
              <w:rPr>
                <w:color w:val="000000"/>
                <w:sz w:val="20"/>
                <w:szCs w:val="20"/>
              </w:rPr>
              <w:t>(0.086)</w:t>
            </w:r>
          </w:p>
        </w:tc>
      </w:tr>
      <w:tr w:rsidR="00847F65" w:rsidRPr="00847F65" w14:paraId="0754BC57" w14:textId="77777777" w:rsidTr="00090E3A">
        <w:trPr>
          <w:trHeight w:val="300"/>
        </w:trPr>
        <w:tc>
          <w:tcPr>
            <w:tcW w:w="2142" w:type="dxa"/>
            <w:tcBorders>
              <w:top w:val="nil"/>
              <w:left w:val="nil"/>
              <w:bottom w:val="nil"/>
              <w:right w:val="nil"/>
            </w:tcBorders>
            <w:shd w:val="clear" w:color="auto" w:fill="auto"/>
            <w:noWrap/>
            <w:vAlign w:val="center"/>
            <w:hideMark/>
          </w:tcPr>
          <w:p w14:paraId="37D657D2" w14:textId="77777777" w:rsidR="00847F65" w:rsidRPr="00847F65" w:rsidRDefault="00847F65" w:rsidP="00090E3A">
            <w:pPr>
              <w:jc w:val="center"/>
              <w:rPr>
                <w:color w:val="000000"/>
                <w:sz w:val="20"/>
                <w:szCs w:val="20"/>
              </w:rPr>
            </w:pPr>
            <m:oMathPara>
              <m:oMathParaPr>
                <m:jc m:val="left"/>
              </m:oMathParaPr>
              <m:oMath>
                <m:r>
                  <w:rPr>
                    <w:rFonts w:ascii="Cambria Math" w:hAnsi="Cambria Math"/>
                    <w:color w:val="000000"/>
                    <w:sz w:val="20"/>
                    <w:szCs w:val="20"/>
                  </w:rPr>
                  <m:t xml:space="preserve">∆ </m:t>
                </m:r>
                <m:sSub>
                  <m:sSubPr>
                    <m:ctrlPr>
                      <w:rPr>
                        <w:rFonts w:ascii="Cambria Math" w:hAnsi="Cambria Math"/>
                        <w:i/>
                        <w:color w:val="000000"/>
                        <w:sz w:val="20"/>
                        <w:szCs w:val="20"/>
                      </w:rPr>
                    </m:ctrlPr>
                  </m:sSubPr>
                  <m:e>
                    <m:r>
                      <w:rPr>
                        <w:rFonts w:ascii="Cambria Math" w:hAnsi="Cambria Math"/>
                        <w:color w:val="000000"/>
                        <w:sz w:val="20"/>
                        <w:szCs w:val="20"/>
                      </w:rPr>
                      <m:t>GATT</m:t>
                    </m:r>
                  </m:e>
                  <m:sub>
                    <m:r>
                      <w:rPr>
                        <w:rFonts w:ascii="Cambria Math" w:hAnsi="Cambria Math"/>
                        <w:color w:val="000000"/>
                        <w:sz w:val="20"/>
                        <w:szCs w:val="20"/>
                      </w:rPr>
                      <m:t>ij,t-1</m:t>
                    </m:r>
                  </m:sub>
                </m:sSub>
              </m:oMath>
            </m:oMathPara>
          </w:p>
        </w:tc>
        <w:tc>
          <w:tcPr>
            <w:tcW w:w="1742" w:type="dxa"/>
            <w:tcBorders>
              <w:top w:val="nil"/>
              <w:left w:val="nil"/>
              <w:bottom w:val="nil"/>
              <w:right w:val="nil"/>
            </w:tcBorders>
            <w:shd w:val="clear" w:color="auto" w:fill="auto"/>
            <w:noWrap/>
            <w:vAlign w:val="center"/>
            <w:hideMark/>
          </w:tcPr>
          <w:p w14:paraId="34F3D47A" w14:textId="77777777" w:rsidR="00847F65" w:rsidRPr="00847F65" w:rsidRDefault="00847F65" w:rsidP="00090E3A">
            <w:pPr>
              <w:jc w:val="center"/>
              <w:rPr>
                <w:color w:val="000000"/>
                <w:sz w:val="20"/>
                <w:szCs w:val="20"/>
              </w:rPr>
            </w:pPr>
            <w:r w:rsidRPr="00847F65">
              <w:rPr>
                <w:color w:val="000000"/>
                <w:sz w:val="20"/>
                <w:szCs w:val="20"/>
              </w:rPr>
              <w:t>0.660***</w:t>
            </w:r>
          </w:p>
        </w:tc>
        <w:tc>
          <w:tcPr>
            <w:tcW w:w="1742" w:type="dxa"/>
            <w:tcBorders>
              <w:top w:val="nil"/>
              <w:left w:val="nil"/>
              <w:bottom w:val="nil"/>
              <w:right w:val="nil"/>
            </w:tcBorders>
            <w:shd w:val="clear" w:color="auto" w:fill="auto"/>
            <w:noWrap/>
            <w:vAlign w:val="center"/>
            <w:hideMark/>
          </w:tcPr>
          <w:p w14:paraId="092B2736" w14:textId="77777777" w:rsidR="00847F65" w:rsidRPr="00847F65" w:rsidRDefault="00847F65" w:rsidP="00090E3A">
            <w:pPr>
              <w:jc w:val="center"/>
              <w:rPr>
                <w:color w:val="000000"/>
                <w:sz w:val="20"/>
                <w:szCs w:val="20"/>
              </w:rPr>
            </w:pPr>
            <w:r w:rsidRPr="00847F65">
              <w:rPr>
                <w:color w:val="000000"/>
                <w:sz w:val="20"/>
                <w:szCs w:val="20"/>
              </w:rPr>
              <w:t>0.663***</w:t>
            </w:r>
          </w:p>
        </w:tc>
        <w:tc>
          <w:tcPr>
            <w:tcW w:w="1415" w:type="dxa"/>
            <w:tcBorders>
              <w:top w:val="nil"/>
              <w:left w:val="nil"/>
              <w:bottom w:val="nil"/>
              <w:right w:val="nil"/>
            </w:tcBorders>
            <w:shd w:val="clear" w:color="auto" w:fill="auto"/>
            <w:noWrap/>
            <w:vAlign w:val="center"/>
            <w:hideMark/>
          </w:tcPr>
          <w:p w14:paraId="578C02C1" w14:textId="77777777" w:rsidR="00847F65" w:rsidRPr="00847F65" w:rsidRDefault="00847F65" w:rsidP="00090E3A">
            <w:pPr>
              <w:jc w:val="center"/>
              <w:rPr>
                <w:color w:val="000000"/>
                <w:sz w:val="20"/>
                <w:szCs w:val="20"/>
              </w:rPr>
            </w:pPr>
            <w:r w:rsidRPr="00847F65">
              <w:rPr>
                <w:color w:val="000000"/>
                <w:sz w:val="20"/>
                <w:szCs w:val="20"/>
              </w:rPr>
              <w:t>0.868***</w:t>
            </w:r>
          </w:p>
        </w:tc>
        <w:tc>
          <w:tcPr>
            <w:tcW w:w="1742" w:type="dxa"/>
            <w:tcBorders>
              <w:top w:val="nil"/>
              <w:left w:val="single" w:sz="4" w:space="0" w:color="auto"/>
              <w:bottom w:val="nil"/>
              <w:right w:val="nil"/>
            </w:tcBorders>
            <w:shd w:val="clear" w:color="auto" w:fill="auto"/>
            <w:noWrap/>
            <w:vAlign w:val="center"/>
            <w:hideMark/>
          </w:tcPr>
          <w:p w14:paraId="31529289" w14:textId="77777777" w:rsidR="00847F65" w:rsidRPr="00847F65" w:rsidRDefault="00847F65" w:rsidP="00090E3A">
            <w:pPr>
              <w:jc w:val="center"/>
              <w:rPr>
                <w:color w:val="000000"/>
                <w:sz w:val="20"/>
                <w:szCs w:val="20"/>
              </w:rPr>
            </w:pPr>
            <w:r w:rsidRPr="00847F65">
              <w:rPr>
                <w:color w:val="000000"/>
                <w:sz w:val="20"/>
                <w:szCs w:val="20"/>
              </w:rPr>
              <w:t>0.608***</w:t>
            </w:r>
          </w:p>
        </w:tc>
        <w:tc>
          <w:tcPr>
            <w:tcW w:w="1407" w:type="dxa"/>
            <w:tcBorders>
              <w:top w:val="nil"/>
              <w:left w:val="nil"/>
              <w:bottom w:val="nil"/>
              <w:right w:val="nil"/>
            </w:tcBorders>
            <w:shd w:val="clear" w:color="auto" w:fill="auto"/>
            <w:noWrap/>
            <w:vAlign w:val="center"/>
            <w:hideMark/>
          </w:tcPr>
          <w:p w14:paraId="47CC653D" w14:textId="77777777" w:rsidR="00847F65" w:rsidRPr="00847F65" w:rsidRDefault="00847F65" w:rsidP="00090E3A">
            <w:pPr>
              <w:jc w:val="center"/>
              <w:rPr>
                <w:color w:val="000000"/>
                <w:sz w:val="20"/>
                <w:szCs w:val="20"/>
              </w:rPr>
            </w:pPr>
            <w:r w:rsidRPr="00847F65">
              <w:rPr>
                <w:color w:val="000000"/>
                <w:sz w:val="20"/>
                <w:szCs w:val="20"/>
              </w:rPr>
              <w:t>0.853***</w:t>
            </w:r>
          </w:p>
        </w:tc>
      </w:tr>
      <w:tr w:rsidR="00847F65" w:rsidRPr="00847F65" w14:paraId="46C9C4B8" w14:textId="77777777" w:rsidTr="00090E3A">
        <w:trPr>
          <w:trHeight w:val="300"/>
        </w:trPr>
        <w:tc>
          <w:tcPr>
            <w:tcW w:w="2142" w:type="dxa"/>
            <w:tcBorders>
              <w:top w:val="nil"/>
              <w:left w:val="nil"/>
              <w:bottom w:val="nil"/>
              <w:right w:val="nil"/>
            </w:tcBorders>
            <w:shd w:val="clear" w:color="auto" w:fill="auto"/>
            <w:noWrap/>
            <w:vAlign w:val="center"/>
            <w:hideMark/>
          </w:tcPr>
          <w:p w14:paraId="58CA0DA7" w14:textId="77777777" w:rsidR="00847F65" w:rsidRPr="00847F65" w:rsidRDefault="00847F65" w:rsidP="00090E3A">
            <w:pPr>
              <w:jc w:val="center"/>
              <w:rPr>
                <w:color w:val="000000"/>
                <w:sz w:val="20"/>
                <w:szCs w:val="20"/>
              </w:rPr>
            </w:pPr>
          </w:p>
        </w:tc>
        <w:tc>
          <w:tcPr>
            <w:tcW w:w="1742" w:type="dxa"/>
            <w:tcBorders>
              <w:top w:val="nil"/>
              <w:left w:val="nil"/>
              <w:bottom w:val="nil"/>
              <w:right w:val="nil"/>
            </w:tcBorders>
            <w:shd w:val="clear" w:color="auto" w:fill="auto"/>
            <w:noWrap/>
            <w:vAlign w:val="center"/>
            <w:hideMark/>
          </w:tcPr>
          <w:p w14:paraId="5A7A9469" w14:textId="77777777" w:rsidR="00847F65" w:rsidRPr="00847F65" w:rsidRDefault="00847F65" w:rsidP="00090E3A">
            <w:pPr>
              <w:jc w:val="center"/>
              <w:rPr>
                <w:color w:val="000000"/>
                <w:sz w:val="20"/>
                <w:szCs w:val="20"/>
              </w:rPr>
            </w:pPr>
            <w:r w:rsidRPr="00847F65">
              <w:rPr>
                <w:color w:val="000000"/>
                <w:sz w:val="20"/>
                <w:szCs w:val="20"/>
              </w:rPr>
              <w:t>(0.0818)</w:t>
            </w:r>
          </w:p>
        </w:tc>
        <w:tc>
          <w:tcPr>
            <w:tcW w:w="1742" w:type="dxa"/>
            <w:tcBorders>
              <w:top w:val="nil"/>
              <w:left w:val="nil"/>
              <w:bottom w:val="nil"/>
              <w:right w:val="nil"/>
            </w:tcBorders>
            <w:shd w:val="clear" w:color="auto" w:fill="auto"/>
            <w:noWrap/>
            <w:vAlign w:val="center"/>
            <w:hideMark/>
          </w:tcPr>
          <w:p w14:paraId="2B9C6AB2" w14:textId="77777777" w:rsidR="00847F65" w:rsidRPr="00847F65" w:rsidRDefault="00847F65" w:rsidP="00090E3A">
            <w:pPr>
              <w:jc w:val="center"/>
              <w:rPr>
                <w:color w:val="000000"/>
                <w:sz w:val="20"/>
                <w:szCs w:val="20"/>
              </w:rPr>
            </w:pPr>
            <w:r w:rsidRPr="00847F65">
              <w:rPr>
                <w:color w:val="000000"/>
                <w:sz w:val="20"/>
                <w:szCs w:val="20"/>
              </w:rPr>
              <w:t>(0.0818)</w:t>
            </w:r>
          </w:p>
        </w:tc>
        <w:tc>
          <w:tcPr>
            <w:tcW w:w="1415" w:type="dxa"/>
            <w:tcBorders>
              <w:top w:val="nil"/>
              <w:left w:val="nil"/>
              <w:bottom w:val="nil"/>
              <w:right w:val="nil"/>
            </w:tcBorders>
            <w:shd w:val="clear" w:color="auto" w:fill="auto"/>
            <w:noWrap/>
            <w:vAlign w:val="center"/>
            <w:hideMark/>
          </w:tcPr>
          <w:p w14:paraId="2AB5ED61" w14:textId="77777777" w:rsidR="00847F65" w:rsidRPr="00847F65" w:rsidRDefault="00847F65" w:rsidP="00090E3A">
            <w:pPr>
              <w:jc w:val="center"/>
              <w:rPr>
                <w:color w:val="000000"/>
                <w:sz w:val="20"/>
                <w:szCs w:val="20"/>
              </w:rPr>
            </w:pPr>
            <w:r w:rsidRPr="00847F65">
              <w:rPr>
                <w:color w:val="000000"/>
                <w:sz w:val="20"/>
                <w:szCs w:val="20"/>
              </w:rPr>
              <w:t>(0.0718)</w:t>
            </w:r>
          </w:p>
        </w:tc>
        <w:tc>
          <w:tcPr>
            <w:tcW w:w="1742" w:type="dxa"/>
            <w:tcBorders>
              <w:top w:val="nil"/>
              <w:left w:val="single" w:sz="4" w:space="0" w:color="auto"/>
              <w:bottom w:val="nil"/>
              <w:right w:val="nil"/>
            </w:tcBorders>
            <w:shd w:val="clear" w:color="auto" w:fill="auto"/>
            <w:noWrap/>
            <w:vAlign w:val="center"/>
            <w:hideMark/>
          </w:tcPr>
          <w:p w14:paraId="20607D5A" w14:textId="77777777" w:rsidR="00847F65" w:rsidRPr="00847F65" w:rsidRDefault="00847F65" w:rsidP="00090E3A">
            <w:pPr>
              <w:jc w:val="center"/>
              <w:rPr>
                <w:color w:val="000000"/>
                <w:sz w:val="20"/>
                <w:szCs w:val="20"/>
              </w:rPr>
            </w:pPr>
            <w:r w:rsidRPr="00847F65">
              <w:rPr>
                <w:color w:val="000000"/>
                <w:sz w:val="20"/>
                <w:szCs w:val="20"/>
              </w:rPr>
              <w:t>(0.0859)</w:t>
            </w:r>
          </w:p>
        </w:tc>
        <w:tc>
          <w:tcPr>
            <w:tcW w:w="1407" w:type="dxa"/>
            <w:tcBorders>
              <w:top w:val="nil"/>
              <w:left w:val="nil"/>
              <w:bottom w:val="nil"/>
              <w:right w:val="nil"/>
            </w:tcBorders>
            <w:shd w:val="clear" w:color="auto" w:fill="auto"/>
            <w:noWrap/>
            <w:vAlign w:val="center"/>
            <w:hideMark/>
          </w:tcPr>
          <w:p w14:paraId="30B5BABD" w14:textId="77777777" w:rsidR="00847F65" w:rsidRPr="00847F65" w:rsidRDefault="00847F65" w:rsidP="00090E3A">
            <w:pPr>
              <w:jc w:val="center"/>
              <w:rPr>
                <w:color w:val="000000"/>
                <w:sz w:val="20"/>
                <w:szCs w:val="20"/>
              </w:rPr>
            </w:pPr>
            <w:r w:rsidRPr="00847F65">
              <w:rPr>
                <w:color w:val="000000"/>
                <w:sz w:val="20"/>
                <w:szCs w:val="20"/>
              </w:rPr>
              <w:t>(0.0753)</w:t>
            </w:r>
          </w:p>
        </w:tc>
      </w:tr>
      <w:tr w:rsidR="00847F65" w:rsidRPr="00847F65" w14:paraId="005B5E88" w14:textId="77777777" w:rsidTr="00090E3A">
        <w:trPr>
          <w:trHeight w:val="300"/>
        </w:trPr>
        <w:tc>
          <w:tcPr>
            <w:tcW w:w="2142" w:type="dxa"/>
            <w:tcBorders>
              <w:top w:val="nil"/>
              <w:left w:val="nil"/>
              <w:bottom w:val="nil"/>
              <w:right w:val="nil"/>
            </w:tcBorders>
            <w:shd w:val="clear" w:color="auto" w:fill="auto"/>
            <w:noWrap/>
            <w:vAlign w:val="center"/>
            <w:hideMark/>
          </w:tcPr>
          <w:p w14:paraId="458C9B70" w14:textId="77777777" w:rsidR="00847F65" w:rsidRPr="00847F65" w:rsidRDefault="00847F65" w:rsidP="00090E3A">
            <w:pPr>
              <w:jc w:val="center"/>
              <w:rPr>
                <w:color w:val="000000"/>
                <w:sz w:val="20"/>
                <w:szCs w:val="20"/>
              </w:rPr>
            </w:pPr>
            <m:oMathPara>
              <m:oMathParaPr>
                <m:jc m:val="left"/>
              </m:oMathParaPr>
              <m:oMath>
                <m:r>
                  <w:rPr>
                    <w:rFonts w:ascii="Cambria Math" w:hAnsi="Cambria Math"/>
                    <w:color w:val="000000"/>
                    <w:sz w:val="20"/>
                    <w:szCs w:val="20"/>
                  </w:rPr>
                  <m:t xml:space="preserve">∆ </m:t>
                </m:r>
                <m:sSub>
                  <m:sSubPr>
                    <m:ctrlPr>
                      <w:rPr>
                        <w:rFonts w:ascii="Cambria Math" w:hAnsi="Cambria Math"/>
                        <w:i/>
                        <w:color w:val="000000"/>
                        <w:sz w:val="20"/>
                        <w:szCs w:val="20"/>
                      </w:rPr>
                    </m:ctrlPr>
                  </m:sSubPr>
                  <m:e>
                    <m:r>
                      <w:rPr>
                        <w:rFonts w:ascii="Cambria Math" w:hAnsi="Cambria Math"/>
                        <w:color w:val="000000"/>
                        <w:sz w:val="20"/>
                        <w:szCs w:val="20"/>
                      </w:rPr>
                      <m:t>GATT</m:t>
                    </m:r>
                  </m:e>
                  <m:sub>
                    <m:r>
                      <w:rPr>
                        <w:rFonts w:ascii="Cambria Math" w:hAnsi="Cambria Math"/>
                        <w:color w:val="000000"/>
                        <w:sz w:val="20"/>
                        <w:szCs w:val="20"/>
                      </w:rPr>
                      <m:t>ij,t-2</m:t>
                    </m:r>
                  </m:sub>
                </m:sSub>
              </m:oMath>
            </m:oMathPara>
          </w:p>
        </w:tc>
        <w:tc>
          <w:tcPr>
            <w:tcW w:w="1742" w:type="dxa"/>
            <w:tcBorders>
              <w:top w:val="nil"/>
              <w:left w:val="nil"/>
              <w:bottom w:val="nil"/>
              <w:right w:val="nil"/>
            </w:tcBorders>
            <w:shd w:val="clear" w:color="auto" w:fill="auto"/>
            <w:noWrap/>
            <w:vAlign w:val="center"/>
            <w:hideMark/>
          </w:tcPr>
          <w:p w14:paraId="3E33F44D" w14:textId="77777777" w:rsidR="00847F65" w:rsidRPr="00847F65" w:rsidRDefault="00847F65" w:rsidP="00090E3A">
            <w:pPr>
              <w:jc w:val="center"/>
              <w:rPr>
                <w:color w:val="000000"/>
                <w:sz w:val="20"/>
                <w:szCs w:val="20"/>
              </w:rPr>
            </w:pPr>
            <w:r w:rsidRPr="00847F65">
              <w:rPr>
                <w:color w:val="000000"/>
                <w:sz w:val="20"/>
                <w:szCs w:val="20"/>
              </w:rPr>
              <w:t>0.535***</w:t>
            </w:r>
          </w:p>
        </w:tc>
        <w:tc>
          <w:tcPr>
            <w:tcW w:w="1742" w:type="dxa"/>
            <w:tcBorders>
              <w:top w:val="nil"/>
              <w:left w:val="nil"/>
              <w:bottom w:val="nil"/>
              <w:right w:val="nil"/>
            </w:tcBorders>
            <w:shd w:val="clear" w:color="auto" w:fill="auto"/>
            <w:noWrap/>
            <w:vAlign w:val="center"/>
            <w:hideMark/>
          </w:tcPr>
          <w:p w14:paraId="6A2FF4ED" w14:textId="77777777" w:rsidR="00847F65" w:rsidRPr="00847F65" w:rsidRDefault="00847F65" w:rsidP="00090E3A">
            <w:pPr>
              <w:jc w:val="center"/>
              <w:rPr>
                <w:color w:val="000000"/>
                <w:sz w:val="20"/>
                <w:szCs w:val="20"/>
              </w:rPr>
            </w:pPr>
            <w:r w:rsidRPr="00847F65">
              <w:rPr>
                <w:color w:val="000000"/>
                <w:sz w:val="20"/>
                <w:szCs w:val="20"/>
              </w:rPr>
              <w:t>0.539***</w:t>
            </w:r>
          </w:p>
        </w:tc>
        <w:tc>
          <w:tcPr>
            <w:tcW w:w="1415" w:type="dxa"/>
            <w:tcBorders>
              <w:top w:val="nil"/>
              <w:left w:val="nil"/>
              <w:bottom w:val="nil"/>
              <w:right w:val="nil"/>
            </w:tcBorders>
            <w:shd w:val="clear" w:color="auto" w:fill="auto"/>
            <w:noWrap/>
            <w:vAlign w:val="center"/>
            <w:hideMark/>
          </w:tcPr>
          <w:p w14:paraId="4CD428D3" w14:textId="77777777" w:rsidR="00847F65" w:rsidRPr="00847F65" w:rsidRDefault="00847F65" w:rsidP="00090E3A">
            <w:pPr>
              <w:jc w:val="center"/>
              <w:rPr>
                <w:color w:val="000000"/>
                <w:sz w:val="20"/>
                <w:szCs w:val="20"/>
              </w:rPr>
            </w:pPr>
            <w:r w:rsidRPr="00847F65">
              <w:rPr>
                <w:color w:val="000000"/>
                <w:sz w:val="20"/>
                <w:szCs w:val="20"/>
              </w:rPr>
              <w:t>0.658***</w:t>
            </w:r>
          </w:p>
        </w:tc>
        <w:tc>
          <w:tcPr>
            <w:tcW w:w="1742" w:type="dxa"/>
            <w:tcBorders>
              <w:top w:val="nil"/>
              <w:left w:val="single" w:sz="4" w:space="0" w:color="auto"/>
              <w:bottom w:val="nil"/>
              <w:right w:val="nil"/>
            </w:tcBorders>
            <w:shd w:val="clear" w:color="auto" w:fill="auto"/>
            <w:noWrap/>
            <w:vAlign w:val="center"/>
            <w:hideMark/>
          </w:tcPr>
          <w:p w14:paraId="022F02BE" w14:textId="77777777" w:rsidR="00847F65" w:rsidRPr="00847F65" w:rsidRDefault="00847F65" w:rsidP="00090E3A">
            <w:pPr>
              <w:jc w:val="center"/>
              <w:rPr>
                <w:color w:val="000000"/>
                <w:sz w:val="20"/>
                <w:szCs w:val="20"/>
              </w:rPr>
            </w:pPr>
            <w:r w:rsidRPr="00847F65">
              <w:rPr>
                <w:color w:val="000000"/>
                <w:sz w:val="20"/>
                <w:szCs w:val="20"/>
              </w:rPr>
              <w:t>0.542***</w:t>
            </w:r>
          </w:p>
        </w:tc>
        <w:tc>
          <w:tcPr>
            <w:tcW w:w="1407" w:type="dxa"/>
            <w:tcBorders>
              <w:top w:val="nil"/>
              <w:left w:val="nil"/>
              <w:bottom w:val="nil"/>
              <w:right w:val="nil"/>
            </w:tcBorders>
            <w:shd w:val="clear" w:color="auto" w:fill="auto"/>
            <w:noWrap/>
            <w:vAlign w:val="center"/>
            <w:hideMark/>
          </w:tcPr>
          <w:p w14:paraId="6088EF90" w14:textId="77777777" w:rsidR="00847F65" w:rsidRPr="00847F65" w:rsidRDefault="00847F65" w:rsidP="00090E3A">
            <w:pPr>
              <w:jc w:val="center"/>
              <w:rPr>
                <w:color w:val="000000"/>
                <w:sz w:val="20"/>
                <w:szCs w:val="20"/>
              </w:rPr>
            </w:pPr>
            <w:r w:rsidRPr="00847F65">
              <w:rPr>
                <w:color w:val="000000"/>
                <w:sz w:val="20"/>
                <w:szCs w:val="20"/>
              </w:rPr>
              <w:t>0.677***</w:t>
            </w:r>
          </w:p>
        </w:tc>
      </w:tr>
      <w:tr w:rsidR="00847F65" w:rsidRPr="00847F65" w14:paraId="3C192282" w14:textId="77777777" w:rsidTr="00090E3A">
        <w:trPr>
          <w:trHeight w:val="300"/>
        </w:trPr>
        <w:tc>
          <w:tcPr>
            <w:tcW w:w="2142" w:type="dxa"/>
            <w:tcBorders>
              <w:top w:val="nil"/>
              <w:left w:val="nil"/>
              <w:bottom w:val="nil"/>
              <w:right w:val="nil"/>
            </w:tcBorders>
            <w:shd w:val="clear" w:color="auto" w:fill="auto"/>
            <w:noWrap/>
            <w:vAlign w:val="center"/>
            <w:hideMark/>
          </w:tcPr>
          <w:p w14:paraId="4C462B26" w14:textId="77777777" w:rsidR="00847F65" w:rsidRPr="00847F65" w:rsidRDefault="00847F65" w:rsidP="00090E3A">
            <w:pPr>
              <w:jc w:val="center"/>
              <w:rPr>
                <w:color w:val="000000"/>
                <w:sz w:val="20"/>
                <w:szCs w:val="20"/>
              </w:rPr>
            </w:pPr>
          </w:p>
        </w:tc>
        <w:tc>
          <w:tcPr>
            <w:tcW w:w="1742" w:type="dxa"/>
            <w:tcBorders>
              <w:top w:val="nil"/>
              <w:left w:val="nil"/>
              <w:bottom w:val="nil"/>
              <w:right w:val="nil"/>
            </w:tcBorders>
            <w:shd w:val="clear" w:color="auto" w:fill="auto"/>
            <w:noWrap/>
            <w:vAlign w:val="center"/>
            <w:hideMark/>
          </w:tcPr>
          <w:p w14:paraId="3AF21CEF" w14:textId="77777777" w:rsidR="00847F65" w:rsidRPr="00847F65" w:rsidRDefault="00847F65" w:rsidP="00090E3A">
            <w:pPr>
              <w:jc w:val="center"/>
              <w:rPr>
                <w:color w:val="000000"/>
                <w:sz w:val="20"/>
                <w:szCs w:val="20"/>
              </w:rPr>
            </w:pPr>
            <w:r w:rsidRPr="00847F65">
              <w:rPr>
                <w:color w:val="000000"/>
                <w:sz w:val="20"/>
                <w:szCs w:val="20"/>
              </w:rPr>
              <w:t>(0.0663)</w:t>
            </w:r>
          </w:p>
        </w:tc>
        <w:tc>
          <w:tcPr>
            <w:tcW w:w="1742" w:type="dxa"/>
            <w:tcBorders>
              <w:top w:val="nil"/>
              <w:left w:val="nil"/>
              <w:bottom w:val="nil"/>
              <w:right w:val="nil"/>
            </w:tcBorders>
            <w:shd w:val="clear" w:color="auto" w:fill="auto"/>
            <w:noWrap/>
            <w:vAlign w:val="center"/>
            <w:hideMark/>
          </w:tcPr>
          <w:p w14:paraId="754CD3AA" w14:textId="77777777" w:rsidR="00847F65" w:rsidRPr="00847F65" w:rsidRDefault="00847F65" w:rsidP="00090E3A">
            <w:pPr>
              <w:jc w:val="center"/>
              <w:rPr>
                <w:color w:val="000000"/>
                <w:sz w:val="20"/>
                <w:szCs w:val="20"/>
              </w:rPr>
            </w:pPr>
            <w:r w:rsidRPr="00847F65">
              <w:rPr>
                <w:color w:val="000000"/>
                <w:sz w:val="20"/>
                <w:szCs w:val="20"/>
              </w:rPr>
              <w:t>(0.0663)</w:t>
            </w:r>
          </w:p>
        </w:tc>
        <w:tc>
          <w:tcPr>
            <w:tcW w:w="1415" w:type="dxa"/>
            <w:tcBorders>
              <w:top w:val="nil"/>
              <w:left w:val="nil"/>
              <w:bottom w:val="nil"/>
              <w:right w:val="nil"/>
            </w:tcBorders>
            <w:shd w:val="clear" w:color="auto" w:fill="auto"/>
            <w:noWrap/>
            <w:vAlign w:val="center"/>
            <w:hideMark/>
          </w:tcPr>
          <w:p w14:paraId="1F610E9B" w14:textId="77777777" w:rsidR="00847F65" w:rsidRPr="00847F65" w:rsidRDefault="00847F65" w:rsidP="00090E3A">
            <w:pPr>
              <w:jc w:val="center"/>
              <w:rPr>
                <w:color w:val="000000"/>
                <w:sz w:val="20"/>
                <w:szCs w:val="20"/>
              </w:rPr>
            </w:pPr>
            <w:r w:rsidRPr="00847F65">
              <w:rPr>
                <w:color w:val="000000"/>
                <w:sz w:val="20"/>
                <w:szCs w:val="20"/>
              </w:rPr>
              <w:t>(0.058)</w:t>
            </w:r>
          </w:p>
        </w:tc>
        <w:tc>
          <w:tcPr>
            <w:tcW w:w="1742" w:type="dxa"/>
            <w:tcBorders>
              <w:top w:val="nil"/>
              <w:left w:val="single" w:sz="4" w:space="0" w:color="auto"/>
              <w:bottom w:val="nil"/>
              <w:right w:val="nil"/>
            </w:tcBorders>
            <w:shd w:val="clear" w:color="auto" w:fill="auto"/>
            <w:noWrap/>
            <w:vAlign w:val="center"/>
            <w:hideMark/>
          </w:tcPr>
          <w:p w14:paraId="697A0EDF" w14:textId="77777777" w:rsidR="00847F65" w:rsidRPr="00847F65" w:rsidRDefault="00847F65" w:rsidP="00090E3A">
            <w:pPr>
              <w:jc w:val="center"/>
              <w:rPr>
                <w:color w:val="000000"/>
                <w:sz w:val="20"/>
                <w:szCs w:val="20"/>
              </w:rPr>
            </w:pPr>
            <w:r w:rsidRPr="00847F65">
              <w:rPr>
                <w:color w:val="000000"/>
                <w:sz w:val="20"/>
                <w:szCs w:val="20"/>
              </w:rPr>
              <w:t>(0.0693)</w:t>
            </w:r>
          </w:p>
        </w:tc>
        <w:tc>
          <w:tcPr>
            <w:tcW w:w="1407" w:type="dxa"/>
            <w:tcBorders>
              <w:top w:val="nil"/>
              <w:left w:val="nil"/>
              <w:bottom w:val="nil"/>
              <w:right w:val="nil"/>
            </w:tcBorders>
            <w:shd w:val="clear" w:color="auto" w:fill="auto"/>
            <w:noWrap/>
            <w:vAlign w:val="center"/>
            <w:hideMark/>
          </w:tcPr>
          <w:p w14:paraId="0A99748E" w14:textId="77777777" w:rsidR="00847F65" w:rsidRPr="00847F65" w:rsidRDefault="00847F65" w:rsidP="00090E3A">
            <w:pPr>
              <w:jc w:val="center"/>
              <w:rPr>
                <w:color w:val="000000"/>
                <w:sz w:val="20"/>
                <w:szCs w:val="20"/>
              </w:rPr>
            </w:pPr>
            <w:r w:rsidRPr="00847F65">
              <w:rPr>
                <w:color w:val="000000"/>
                <w:sz w:val="20"/>
                <w:szCs w:val="20"/>
              </w:rPr>
              <w:t>(0.0604)</w:t>
            </w:r>
          </w:p>
        </w:tc>
      </w:tr>
      <w:tr w:rsidR="00847F65" w:rsidRPr="00847F65" w14:paraId="1D66BC2F" w14:textId="77777777" w:rsidTr="00090E3A">
        <w:trPr>
          <w:trHeight w:val="300"/>
        </w:trPr>
        <w:tc>
          <w:tcPr>
            <w:tcW w:w="2142" w:type="dxa"/>
            <w:tcBorders>
              <w:top w:val="nil"/>
              <w:left w:val="nil"/>
              <w:bottom w:val="nil"/>
              <w:right w:val="nil"/>
            </w:tcBorders>
            <w:shd w:val="clear" w:color="auto" w:fill="auto"/>
            <w:noWrap/>
            <w:vAlign w:val="center"/>
            <w:hideMark/>
          </w:tcPr>
          <w:p w14:paraId="2B4DB489" w14:textId="77777777" w:rsidR="00847F65" w:rsidRPr="00847F65" w:rsidRDefault="00847F65" w:rsidP="00090E3A">
            <w:pPr>
              <w:jc w:val="center"/>
              <w:rPr>
                <w:color w:val="000000"/>
                <w:sz w:val="20"/>
                <w:szCs w:val="20"/>
              </w:rPr>
            </w:pPr>
            <m:oMathPara>
              <m:oMathParaPr>
                <m:jc m:val="left"/>
              </m:oMathParaPr>
              <m:oMath>
                <m:r>
                  <w:rPr>
                    <w:rFonts w:ascii="Cambria Math" w:hAnsi="Cambria Math"/>
                    <w:color w:val="000000"/>
                    <w:sz w:val="20"/>
                    <w:szCs w:val="20"/>
                  </w:rPr>
                  <m:t xml:space="preserve">∆ </m:t>
                </m:r>
                <m:sSub>
                  <m:sSubPr>
                    <m:ctrlPr>
                      <w:rPr>
                        <w:rFonts w:ascii="Cambria Math" w:hAnsi="Cambria Math"/>
                        <w:i/>
                        <w:color w:val="000000"/>
                        <w:sz w:val="20"/>
                        <w:szCs w:val="20"/>
                      </w:rPr>
                    </m:ctrlPr>
                  </m:sSubPr>
                  <m:e>
                    <m:r>
                      <w:rPr>
                        <w:rFonts w:ascii="Cambria Math" w:hAnsi="Cambria Math"/>
                        <w:color w:val="000000"/>
                        <w:sz w:val="20"/>
                        <w:szCs w:val="20"/>
                      </w:rPr>
                      <m:t>GATT</m:t>
                    </m:r>
                  </m:e>
                  <m:sub>
                    <m:r>
                      <w:rPr>
                        <w:rFonts w:ascii="Cambria Math" w:hAnsi="Cambria Math"/>
                        <w:color w:val="000000"/>
                        <w:sz w:val="20"/>
                        <w:szCs w:val="20"/>
                      </w:rPr>
                      <m:t>ij,t-3</m:t>
                    </m:r>
                  </m:sub>
                </m:sSub>
              </m:oMath>
            </m:oMathPara>
          </w:p>
        </w:tc>
        <w:tc>
          <w:tcPr>
            <w:tcW w:w="1742" w:type="dxa"/>
            <w:tcBorders>
              <w:top w:val="nil"/>
              <w:left w:val="nil"/>
              <w:bottom w:val="nil"/>
              <w:right w:val="nil"/>
            </w:tcBorders>
            <w:shd w:val="clear" w:color="auto" w:fill="auto"/>
            <w:noWrap/>
            <w:vAlign w:val="center"/>
            <w:hideMark/>
          </w:tcPr>
          <w:p w14:paraId="5F13C768" w14:textId="77777777" w:rsidR="00847F65" w:rsidRPr="00847F65" w:rsidRDefault="00847F65" w:rsidP="00090E3A">
            <w:pPr>
              <w:jc w:val="center"/>
              <w:rPr>
                <w:color w:val="000000"/>
                <w:sz w:val="20"/>
                <w:szCs w:val="20"/>
              </w:rPr>
            </w:pPr>
            <w:r w:rsidRPr="00847F65">
              <w:rPr>
                <w:color w:val="000000"/>
                <w:sz w:val="20"/>
                <w:szCs w:val="20"/>
              </w:rPr>
              <w:t>0.254***</w:t>
            </w:r>
          </w:p>
        </w:tc>
        <w:tc>
          <w:tcPr>
            <w:tcW w:w="1742" w:type="dxa"/>
            <w:tcBorders>
              <w:top w:val="nil"/>
              <w:left w:val="nil"/>
              <w:bottom w:val="nil"/>
              <w:right w:val="nil"/>
            </w:tcBorders>
            <w:shd w:val="clear" w:color="auto" w:fill="auto"/>
            <w:noWrap/>
            <w:vAlign w:val="center"/>
            <w:hideMark/>
          </w:tcPr>
          <w:p w14:paraId="14D5C03E" w14:textId="77777777" w:rsidR="00847F65" w:rsidRPr="00847F65" w:rsidRDefault="00847F65" w:rsidP="00090E3A">
            <w:pPr>
              <w:jc w:val="center"/>
              <w:rPr>
                <w:color w:val="000000"/>
                <w:sz w:val="20"/>
                <w:szCs w:val="20"/>
              </w:rPr>
            </w:pPr>
            <w:r w:rsidRPr="00847F65">
              <w:rPr>
                <w:color w:val="000000"/>
                <w:sz w:val="20"/>
                <w:szCs w:val="20"/>
              </w:rPr>
              <w:t>0.255***</w:t>
            </w:r>
          </w:p>
        </w:tc>
        <w:tc>
          <w:tcPr>
            <w:tcW w:w="1415" w:type="dxa"/>
            <w:tcBorders>
              <w:top w:val="nil"/>
              <w:left w:val="nil"/>
              <w:bottom w:val="nil"/>
              <w:right w:val="nil"/>
            </w:tcBorders>
            <w:shd w:val="clear" w:color="auto" w:fill="auto"/>
            <w:noWrap/>
            <w:vAlign w:val="center"/>
            <w:hideMark/>
          </w:tcPr>
          <w:p w14:paraId="673CCDBB" w14:textId="77777777" w:rsidR="00847F65" w:rsidRPr="00847F65" w:rsidRDefault="00847F65" w:rsidP="00090E3A">
            <w:pPr>
              <w:jc w:val="center"/>
              <w:rPr>
                <w:color w:val="000000"/>
                <w:sz w:val="20"/>
                <w:szCs w:val="20"/>
              </w:rPr>
            </w:pPr>
            <w:r w:rsidRPr="00847F65">
              <w:rPr>
                <w:color w:val="000000"/>
                <w:sz w:val="20"/>
                <w:szCs w:val="20"/>
              </w:rPr>
              <w:t>0.335***</w:t>
            </w:r>
          </w:p>
        </w:tc>
        <w:tc>
          <w:tcPr>
            <w:tcW w:w="1742" w:type="dxa"/>
            <w:tcBorders>
              <w:top w:val="nil"/>
              <w:left w:val="single" w:sz="4" w:space="0" w:color="auto"/>
              <w:bottom w:val="nil"/>
              <w:right w:val="nil"/>
            </w:tcBorders>
            <w:shd w:val="clear" w:color="auto" w:fill="auto"/>
            <w:noWrap/>
            <w:vAlign w:val="center"/>
            <w:hideMark/>
          </w:tcPr>
          <w:p w14:paraId="22AD7C84" w14:textId="77777777" w:rsidR="00847F65" w:rsidRPr="00847F65" w:rsidRDefault="00847F65" w:rsidP="00090E3A">
            <w:pPr>
              <w:jc w:val="center"/>
              <w:rPr>
                <w:color w:val="000000"/>
                <w:sz w:val="20"/>
                <w:szCs w:val="20"/>
              </w:rPr>
            </w:pPr>
            <w:r w:rsidRPr="00847F65">
              <w:rPr>
                <w:color w:val="000000"/>
                <w:sz w:val="20"/>
                <w:szCs w:val="20"/>
              </w:rPr>
              <w:t>0.265***</w:t>
            </w:r>
          </w:p>
        </w:tc>
        <w:tc>
          <w:tcPr>
            <w:tcW w:w="1407" w:type="dxa"/>
            <w:tcBorders>
              <w:top w:val="nil"/>
              <w:left w:val="nil"/>
              <w:bottom w:val="nil"/>
              <w:right w:val="nil"/>
            </w:tcBorders>
            <w:shd w:val="clear" w:color="auto" w:fill="auto"/>
            <w:noWrap/>
            <w:vAlign w:val="center"/>
            <w:hideMark/>
          </w:tcPr>
          <w:p w14:paraId="748E97E9" w14:textId="77777777" w:rsidR="00847F65" w:rsidRPr="00847F65" w:rsidRDefault="00847F65" w:rsidP="00090E3A">
            <w:pPr>
              <w:jc w:val="center"/>
              <w:rPr>
                <w:color w:val="000000"/>
                <w:sz w:val="20"/>
                <w:szCs w:val="20"/>
              </w:rPr>
            </w:pPr>
            <w:r w:rsidRPr="00847F65">
              <w:rPr>
                <w:color w:val="000000"/>
                <w:sz w:val="20"/>
                <w:szCs w:val="20"/>
              </w:rPr>
              <w:t>0.346***</w:t>
            </w:r>
          </w:p>
        </w:tc>
      </w:tr>
      <w:tr w:rsidR="00847F65" w:rsidRPr="00847F65" w14:paraId="4B2FBC6F" w14:textId="77777777" w:rsidTr="00090E3A">
        <w:trPr>
          <w:trHeight w:val="300"/>
        </w:trPr>
        <w:tc>
          <w:tcPr>
            <w:tcW w:w="2142" w:type="dxa"/>
            <w:tcBorders>
              <w:top w:val="nil"/>
              <w:left w:val="nil"/>
              <w:bottom w:val="nil"/>
              <w:right w:val="nil"/>
            </w:tcBorders>
            <w:shd w:val="clear" w:color="auto" w:fill="auto"/>
            <w:noWrap/>
            <w:vAlign w:val="center"/>
            <w:hideMark/>
          </w:tcPr>
          <w:p w14:paraId="094E1857" w14:textId="77777777" w:rsidR="00847F65" w:rsidRPr="00847F65" w:rsidRDefault="00847F65" w:rsidP="00090E3A">
            <w:pPr>
              <w:jc w:val="center"/>
              <w:rPr>
                <w:color w:val="000000"/>
                <w:sz w:val="20"/>
                <w:szCs w:val="20"/>
              </w:rPr>
            </w:pPr>
          </w:p>
        </w:tc>
        <w:tc>
          <w:tcPr>
            <w:tcW w:w="1742" w:type="dxa"/>
            <w:tcBorders>
              <w:top w:val="nil"/>
              <w:left w:val="nil"/>
              <w:bottom w:val="nil"/>
              <w:right w:val="nil"/>
            </w:tcBorders>
            <w:shd w:val="clear" w:color="auto" w:fill="auto"/>
            <w:noWrap/>
            <w:vAlign w:val="center"/>
            <w:hideMark/>
          </w:tcPr>
          <w:p w14:paraId="14087D1A" w14:textId="77777777" w:rsidR="00847F65" w:rsidRPr="00847F65" w:rsidRDefault="00847F65" w:rsidP="00090E3A">
            <w:pPr>
              <w:jc w:val="center"/>
              <w:rPr>
                <w:color w:val="000000"/>
                <w:sz w:val="20"/>
                <w:szCs w:val="20"/>
              </w:rPr>
            </w:pPr>
            <w:r w:rsidRPr="00847F65">
              <w:rPr>
                <w:color w:val="000000"/>
                <w:sz w:val="20"/>
                <w:szCs w:val="20"/>
              </w:rPr>
              <w:t>(0.0365)</w:t>
            </w:r>
          </w:p>
        </w:tc>
        <w:tc>
          <w:tcPr>
            <w:tcW w:w="1742" w:type="dxa"/>
            <w:tcBorders>
              <w:top w:val="nil"/>
              <w:left w:val="nil"/>
              <w:bottom w:val="nil"/>
              <w:right w:val="nil"/>
            </w:tcBorders>
            <w:shd w:val="clear" w:color="auto" w:fill="auto"/>
            <w:noWrap/>
            <w:vAlign w:val="center"/>
            <w:hideMark/>
          </w:tcPr>
          <w:p w14:paraId="24B40A77" w14:textId="77777777" w:rsidR="00847F65" w:rsidRPr="00847F65" w:rsidRDefault="00847F65" w:rsidP="00090E3A">
            <w:pPr>
              <w:jc w:val="center"/>
              <w:rPr>
                <w:color w:val="000000"/>
                <w:sz w:val="20"/>
                <w:szCs w:val="20"/>
              </w:rPr>
            </w:pPr>
            <w:r w:rsidRPr="00847F65">
              <w:rPr>
                <w:color w:val="000000"/>
                <w:sz w:val="20"/>
                <w:szCs w:val="20"/>
              </w:rPr>
              <w:t>(0.0365)</w:t>
            </w:r>
          </w:p>
        </w:tc>
        <w:tc>
          <w:tcPr>
            <w:tcW w:w="1415" w:type="dxa"/>
            <w:tcBorders>
              <w:top w:val="nil"/>
              <w:left w:val="nil"/>
              <w:bottom w:val="nil"/>
              <w:right w:val="nil"/>
            </w:tcBorders>
            <w:shd w:val="clear" w:color="auto" w:fill="auto"/>
            <w:noWrap/>
            <w:vAlign w:val="center"/>
            <w:hideMark/>
          </w:tcPr>
          <w:p w14:paraId="2A023DAA" w14:textId="77777777" w:rsidR="00847F65" w:rsidRPr="00847F65" w:rsidRDefault="00847F65" w:rsidP="00090E3A">
            <w:pPr>
              <w:jc w:val="center"/>
              <w:rPr>
                <w:color w:val="000000"/>
                <w:sz w:val="20"/>
                <w:szCs w:val="20"/>
              </w:rPr>
            </w:pPr>
            <w:r w:rsidRPr="00847F65">
              <w:rPr>
                <w:color w:val="000000"/>
                <w:sz w:val="20"/>
                <w:szCs w:val="20"/>
              </w:rPr>
              <w:t>(0.0329)</w:t>
            </w:r>
          </w:p>
        </w:tc>
        <w:tc>
          <w:tcPr>
            <w:tcW w:w="1742" w:type="dxa"/>
            <w:tcBorders>
              <w:top w:val="nil"/>
              <w:left w:val="single" w:sz="4" w:space="0" w:color="auto"/>
              <w:bottom w:val="nil"/>
              <w:right w:val="nil"/>
            </w:tcBorders>
            <w:shd w:val="clear" w:color="auto" w:fill="auto"/>
            <w:noWrap/>
            <w:vAlign w:val="center"/>
            <w:hideMark/>
          </w:tcPr>
          <w:p w14:paraId="330472B5" w14:textId="77777777" w:rsidR="00847F65" w:rsidRPr="00847F65" w:rsidRDefault="00847F65" w:rsidP="00090E3A">
            <w:pPr>
              <w:jc w:val="center"/>
              <w:rPr>
                <w:color w:val="000000"/>
                <w:sz w:val="20"/>
                <w:szCs w:val="20"/>
              </w:rPr>
            </w:pPr>
            <w:r w:rsidRPr="00847F65">
              <w:rPr>
                <w:color w:val="000000"/>
                <w:sz w:val="20"/>
                <w:szCs w:val="20"/>
              </w:rPr>
              <w:t>(0.038)</w:t>
            </w:r>
          </w:p>
        </w:tc>
        <w:tc>
          <w:tcPr>
            <w:tcW w:w="1407" w:type="dxa"/>
            <w:tcBorders>
              <w:top w:val="nil"/>
              <w:left w:val="nil"/>
              <w:bottom w:val="nil"/>
              <w:right w:val="nil"/>
            </w:tcBorders>
            <w:shd w:val="clear" w:color="auto" w:fill="auto"/>
            <w:noWrap/>
            <w:vAlign w:val="center"/>
            <w:hideMark/>
          </w:tcPr>
          <w:p w14:paraId="4CB15C53" w14:textId="77777777" w:rsidR="00847F65" w:rsidRPr="00847F65" w:rsidRDefault="00847F65" w:rsidP="00090E3A">
            <w:pPr>
              <w:jc w:val="center"/>
              <w:rPr>
                <w:color w:val="000000"/>
                <w:sz w:val="20"/>
                <w:szCs w:val="20"/>
              </w:rPr>
            </w:pPr>
            <w:r w:rsidRPr="00847F65">
              <w:rPr>
                <w:color w:val="000000"/>
                <w:sz w:val="20"/>
                <w:szCs w:val="20"/>
              </w:rPr>
              <w:t>(0.0341)</w:t>
            </w:r>
          </w:p>
        </w:tc>
      </w:tr>
      <w:tr w:rsidR="00847F65" w:rsidRPr="00847F65" w14:paraId="1AE66386" w14:textId="77777777" w:rsidTr="00090E3A">
        <w:trPr>
          <w:trHeight w:val="300"/>
        </w:trPr>
        <w:tc>
          <w:tcPr>
            <w:tcW w:w="2142" w:type="dxa"/>
            <w:tcBorders>
              <w:top w:val="nil"/>
              <w:left w:val="nil"/>
              <w:bottom w:val="nil"/>
              <w:right w:val="nil"/>
            </w:tcBorders>
            <w:shd w:val="clear" w:color="auto" w:fill="auto"/>
            <w:noWrap/>
            <w:vAlign w:val="center"/>
            <w:hideMark/>
          </w:tcPr>
          <w:p w14:paraId="015CD7D4" w14:textId="77777777" w:rsidR="00847F65" w:rsidRPr="00847F65" w:rsidRDefault="00847F65" w:rsidP="00090E3A">
            <w:pPr>
              <w:jc w:val="center"/>
              <w:rPr>
                <w:color w:val="000000"/>
                <w:sz w:val="20"/>
                <w:szCs w:val="20"/>
              </w:rPr>
            </w:pPr>
            <m:oMathPara>
              <m:oMathParaPr>
                <m:jc m:val="left"/>
              </m:oMathParaPr>
              <m:oMath>
                <m:r>
                  <w:rPr>
                    <w:rFonts w:ascii="Cambria Math" w:hAnsi="Cambria Math"/>
                    <w:color w:val="000000"/>
                    <w:sz w:val="20"/>
                    <w:szCs w:val="20"/>
                  </w:rPr>
                  <m:t xml:space="preserve">∆ </m:t>
                </m:r>
                <m:sSub>
                  <m:sSubPr>
                    <m:ctrlPr>
                      <w:rPr>
                        <w:rFonts w:ascii="Cambria Math" w:hAnsi="Cambria Math"/>
                        <w:i/>
                        <w:color w:val="000000"/>
                        <w:sz w:val="20"/>
                        <w:szCs w:val="20"/>
                      </w:rPr>
                    </m:ctrlPr>
                  </m:sSubPr>
                  <m:e>
                    <m:r>
                      <w:rPr>
                        <w:rFonts w:ascii="Cambria Math" w:hAnsi="Cambria Math"/>
                        <w:color w:val="000000"/>
                        <w:sz w:val="20"/>
                        <w:szCs w:val="20"/>
                      </w:rPr>
                      <m:t>GATT</m:t>
                    </m:r>
                  </m:e>
                  <m:sub>
                    <m:r>
                      <w:rPr>
                        <w:rFonts w:ascii="Cambria Math" w:hAnsi="Cambria Math"/>
                        <w:color w:val="000000"/>
                        <w:sz w:val="20"/>
                        <w:szCs w:val="20"/>
                      </w:rPr>
                      <m:t>ij,t+1</m:t>
                    </m:r>
                  </m:sub>
                </m:sSub>
              </m:oMath>
            </m:oMathPara>
          </w:p>
        </w:tc>
        <w:tc>
          <w:tcPr>
            <w:tcW w:w="1742" w:type="dxa"/>
            <w:tcBorders>
              <w:top w:val="nil"/>
              <w:left w:val="nil"/>
              <w:bottom w:val="nil"/>
              <w:right w:val="nil"/>
            </w:tcBorders>
            <w:shd w:val="clear" w:color="auto" w:fill="auto"/>
            <w:noWrap/>
            <w:vAlign w:val="center"/>
            <w:hideMark/>
          </w:tcPr>
          <w:p w14:paraId="61D089E6" w14:textId="77777777" w:rsidR="00847F65" w:rsidRPr="00847F65" w:rsidRDefault="00847F65" w:rsidP="00090E3A">
            <w:pPr>
              <w:jc w:val="center"/>
              <w:rPr>
                <w:color w:val="000000"/>
                <w:sz w:val="20"/>
                <w:szCs w:val="20"/>
              </w:rPr>
            </w:pPr>
          </w:p>
        </w:tc>
        <w:tc>
          <w:tcPr>
            <w:tcW w:w="1742" w:type="dxa"/>
            <w:tcBorders>
              <w:top w:val="nil"/>
              <w:left w:val="nil"/>
              <w:bottom w:val="nil"/>
              <w:right w:val="nil"/>
            </w:tcBorders>
            <w:shd w:val="clear" w:color="auto" w:fill="auto"/>
            <w:noWrap/>
            <w:vAlign w:val="center"/>
            <w:hideMark/>
          </w:tcPr>
          <w:p w14:paraId="18472B01" w14:textId="77777777" w:rsidR="00847F65" w:rsidRPr="00847F65" w:rsidRDefault="00847F65" w:rsidP="00090E3A">
            <w:pPr>
              <w:jc w:val="center"/>
              <w:rPr>
                <w:color w:val="000000"/>
                <w:sz w:val="20"/>
                <w:szCs w:val="20"/>
              </w:rPr>
            </w:pPr>
            <w:r w:rsidRPr="00847F65">
              <w:rPr>
                <w:color w:val="000000"/>
                <w:sz w:val="20"/>
                <w:szCs w:val="20"/>
              </w:rPr>
              <w:t>0.322</w:t>
            </w:r>
          </w:p>
        </w:tc>
        <w:tc>
          <w:tcPr>
            <w:tcW w:w="1415" w:type="dxa"/>
            <w:tcBorders>
              <w:top w:val="nil"/>
              <w:left w:val="nil"/>
              <w:bottom w:val="nil"/>
              <w:right w:val="nil"/>
            </w:tcBorders>
            <w:shd w:val="clear" w:color="auto" w:fill="auto"/>
            <w:noWrap/>
            <w:vAlign w:val="center"/>
            <w:hideMark/>
          </w:tcPr>
          <w:p w14:paraId="7D497A42" w14:textId="77777777" w:rsidR="00847F65" w:rsidRPr="00847F65" w:rsidRDefault="00847F65" w:rsidP="00090E3A">
            <w:pPr>
              <w:jc w:val="center"/>
              <w:rPr>
                <w:color w:val="000000"/>
                <w:sz w:val="20"/>
                <w:szCs w:val="20"/>
              </w:rPr>
            </w:pPr>
            <w:r w:rsidRPr="00847F65">
              <w:rPr>
                <w:color w:val="000000"/>
                <w:sz w:val="20"/>
                <w:szCs w:val="20"/>
              </w:rPr>
              <w:t>0.196</w:t>
            </w:r>
          </w:p>
        </w:tc>
        <w:tc>
          <w:tcPr>
            <w:tcW w:w="1742" w:type="dxa"/>
            <w:tcBorders>
              <w:top w:val="nil"/>
              <w:left w:val="single" w:sz="4" w:space="0" w:color="auto"/>
              <w:bottom w:val="nil"/>
              <w:right w:val="nil"/>
            </w:tcBorders>
            <w:shd w:val="clear" w:color="auto" w:fill="auto"/>
            <w:noWrap/>
            <w:vAlign w:val="center"/>
            <w:hideMark/>
          </w:tcPr>
          <w:p w14:paraId="06E43F53" w14:textId="77777777" w:rsidR="00847F65" w:rsidRPr="00847F65" w:rsidRDefault="00847F65" w:rsidP="00090E3A">
            <w:pPr>
              <w:jc w:val="center"/>
              <w:rPr>
                <w:color w:val="000000"/>
                <w:sz w:val="20"/>
                <w:szCs w:val="20"/>
              </w:rPr>
            </w:pPr>
            <w:r w:rsidRPr="00847F65">
              <w:rPr>
                <w:color w:val="000000"/>
                <w:sz w:val="20"/>
                <w:szCs w:val="20"/>
              </w:rPr>
              <w:t>0.162</w:t>
            </w:r>
          </w:p>
        </w:tc>
        <w:tc>
          <w:tcPr>
            <w:tcW w:w="1407" w:type="dxa"/>
            <w:tcBorders>
              <w:top w:val="nil"/>
              <w:left w:val="nil"/>
              <w:bottom w:val="nil"/>
              <w:right w:val="nil"/>
            </w:tcBorders>
            <w:shd w:val="clear" w:color="auto" w:fill="auto"/>
            <w:noWrap/>
            <w:vAlign w:val="center"/>
            <w:hideMark/>
          </w:tcPr>
          <w:p w14:paraId="7D5E04AD" w14:textId="77777777" w:rsidR="00847F65" w:rsidRPr="00847F65" w:rsidRDefault="00847F65" w:rsidP="00090E3A">
            <w:pPr>
              <w:jc w:val="center"/>
              <w:rPr>
                <w:color w:val="000000"/>
                <w:sz w:val="20"/>
                <w:szCs w:val="20"/>
              </w:rPr>
            </w:pPr>
            <w:r w:rsidRPr="00847F65">
              <w:rPr>
                <w:color w:val="000000"/>
                <w:sz w:val="20"/>
                <w:szCs w:val="20"/>
              </w:rPr>
              <w:t>0.0821</w:t>
            </w:r>
          </w:p>
        </w:tc>
      </w:tr>
      <w:tr w:rsidR="00847F65" w:rsidRPr="00847F65" w14:paraId="729AD821" w14:textId="77777777" w:rsidTr="00090E3A">
        <w:trPr>
          <w:trHeight w:val="300"/>
        </w:trPr>
        <w:tc>
          <w:tcPr>
            <w:tcW w:w="2142" w:type="dxa"/>
            <w:tcBorders>
              <w:top w:val="nil"/>
              <w:left w:val="nil"/>
              <w:bottom w:val="nil"/>
              <w:right w:val="nil"/>
            </w:tcBorders>
            <w:shd w:val="clear" w:color="auto" w:fill="auto"/>
            <w:noWrap/>
            <w:vAlign w:val="center"/>
            <w:hideMark/>
          </w:tcPr>
          <w:p w14:paraId="1384DD21" w14:textId="77777777" w:rsidR="00847F65" w:rsidRPr="00847F65" w:rsidRDefault="00847F65" w:rsidP="00090E3A">
            <w:pPr>
              <w:jc w:val="center"/>
              <w:rPr>
                <w:color w:val="000000"/>
                <w:sz w:val="20"/>
                <w:szCs w:val="20"/>
              </w:rPr>
            </w:pPr>
          </w:p>
        </w:tc>
        <w:tc>
          <w:tcPr>
            <w:tcW w:w="1742" w:type="dxa"/>
            <w:tcBorders>
              <w:top w:val="nil"/>
              <w:left w:val="nil"/>
              <w:bottom w:val="nil"/>
              <w:right w:val="nil"/>
            </w:tcBorders>
            <w:shd w:val="clear" w:color="auto" w:fill="auto"/>
            <w:noWrap/>
            <w:vAlign w:val="center"/>
            <w:hideMark/>
          </w:tcPr>
          <w:p w14:paraId="6B23FF78" w14:textId="77777777" w:rsidR="00847F65" w:rsidRPr="00847F65" w:rsidRDefault="00847F65" w:rsidP="00090E3A">
            <w:pPr>
              <w:jc w:val="center"/>
              <w:rPr>
                <w:color w:val="000000"/>
                <w:sz w:val="20"/>
                <w:szCs w:val="20"/>
              </w:rPr>
            </w:pPr>
          </w:p>
        </w:tc>
        <w:tc>
          <w:tcPr>
            <w:tcW w:w="1742" w:type="dxa"/>
            <w:tcBorders>
              <w:top w:val="nil"/>
              <w:left w:val="nil"/>
              <w:bottom w:val="nil"/>
              <w:right w:val="nil"/>
            </w:tcBorders>
            <w:shd w:val="clear" w:color="auto" w:fill="auto"/>
            <w:noWrap/>
            <w:vAlign w:val="center"/>
            <w:hideMark/>
          </w:tcPr>
          <w:p w14:paraId="5F0C9F8B" w14:textId="77777777" w:rsidR="00847F65" w:rsidRPr="00847F65" w:rsidRDefault="00847F65" w:rsidP="00090E3A">
            <w:pPr>
              <w:jc w:val="center"/>
              <w:rPr>
                <w:color w:val="000000"/>
                <w:sz w:val="20"/>
                <w:szCs w:val="20"/>
              </w:rPr>
            </w:pPr>
            <w:r w:rsidRPr="00847F65">
              <w:rPr>
                <w:color w:val="000000"/>
                <w:sz w:val="20"/>
                <w:szCs w:val="20"/>
              </w:rPr>
              <w:t>(0.206)</w:t>
            </w:r>
          </w:p>
        </w:tc>
        <w:tc>
          <w:tcPr>
            <w:tcW w:w="1415" w:type="dxa"/>
            <w:tcBorders>
              <w:top w:val="nil"/>
              <w:left w:val="nil"/>
              <w:bottom w:val="nil"/>
              <w:right w:val="nil"/>
            </w:tcBorders>
            <w:shd w:val="clear" w:color="auto" w:fill="auto"/>
            <w:noWrap/>
            <w:vAlign w:val="center"/>
            <w:hideMark/>
          </w:tcPr>
          <w:p w14:paraId="02518891" w14:textId="77777777" w:rsidR="00847F65" w:rsidRPr="00847F65" w:rsidRDefault="00847F65" w:rsidP="00090E3A">
            <w:pPr>
              <w:jc w:val="center"/>
              <w:rPr>
                <w:color w:val="000000"/>
                <w:sz w:val="20"/>
                <w:szCs w:val="20"/>
              </w:rPr>
            </w:pPr>
            <w:r w:rsidRPr="00847F65">
              <w:rPr>
                <w:color w:val="000000"/>
                <w:sz w:val="20"/>
                <w:szCs w:val="20"/>
              </w:rPr>
              <w:t>(0.193)</w:t>
            </w:r>
          </w:p>
        </w:tc>
        <w:tc>
          <w:tcPr>
            <w:tcW w:w="1742" w:type="dxa"/>
            <w:tcBorders>
              <w:top w:val="nil"/>
              <w:left w:val="single" w:sz="4" w:space="0" w:color="auto"/>
              <w:bottom w:val="nil"/>
              <w:right w:val="nil"/>
            </w:tcBorders>
            <w:shd w:val="clear" w:color="auto" w:fill="auto"/>
            <w:noWrap/>
            <w:vAlign w:val="center"/>
            <w:hideMark/>
          </w:tcPr>
          <w:p w14:paraId="0CF0D9D4" w14:textId="77777777" w:rsidR="00847F65" w:rsidRPr="00847F65" w:rsidRDefault="00847F65" w:rsidP="00090E3A">
            <w:pPr>
              <w:jc w:val="center"/>
              <w:rPr>
                <w:color w:val="000000"/>
                <w:sz w:val="20"/>
                <w:szCs w:val="20"/>
              </w:rPr>
            </w:pPr>
            <w:r w:rsidRPr="00847F65">
              <w:rPr>
                <w:color w:val="000000"/>
                <w:sz w:val="20"/>
                <w:szCs w:val="20"/>
              </w:rPr>
              <w:t>(0.216)</w:t>
            </w:r>
          </w:p>
        </w:tc>
        <w:tc>
          <w:tcPr>
            <w:tcW w:w="1407" w:type="dxa"/>
            <w:tcBorders>
              <w:top w:val="nil"/>
              <w:left w:val="nil"/>
              <w:bottom w:val="nil"/>
              <w:right w:val="nil"/>
            </w:tcBorders>
            <w:shd w:val="clear" w:color="auto" w:fill="auto"/>
            <w:noWrap/>
            <w:vAlign w:val="center"/>
            <w:hideMark/>
          </w:tcPr>
          <w:p w14:paraId="0EE14182" w14:textId="77777777" w:rsidR="00847F65" w:rsidRPr="00847F65" w:rsidRDefault="00847F65" w:rsidP="00090E3A">
            <w:pPr>
              <w:jc w:val="center"/>
              <w:rPr>
                <w:color w:val="000000"/>
                <w:sz w:val="20"/>
                <w:szCs w:val="20"/>
              </w:rPr>
            </w:pPr>
            <w:r w:rsidRPr="00847F65">
              <w:rPr>
                <w:color w:val="000000"/>
                <w:sz w:val="20"/>
                <w:szCs w:val="20"/>
              </w:rPr>
              <w:t>(0.203)</w:t>
            </w:r>
          </w:p>
        </w:tc>
      </w:tr>
      <w:tr w:rsidR="00090E3A" w:rsidRPr="00847F65" w14:paraId="2243972C" w14:textId="77777777" w:rsidTr="00090E3A">
        <w:trPr>
          <w:trHeight w:val="300"/>
        </w:trPr>
        <w:tc>
          <w:tcPr>
            <w:tcW w:w="2142" w:type="dxa"/>
            <w:tcBorders>
              <w:top w:val="nil"/>
              <w:left w:val="nil"/>
              <w:bottom w:val="nil"/>
              <w:right w:val="nil"/>
            </w:tcBorders>
            <w:shd w:val="clear" w:color="auto" w:fill="auto"/>
            <w:noWrap/>
            <w:vAlign w:val="center"/>
          </w:tcPr>
          <w:p w14:paraId="3962589F" w14:textId="77777777" w:rsidR="00090E3A" w:rsidRPr="00090E3A" w:rsidRDefault="00090E3A" w:rsidP="00090E3A">
            <w:pPr>
              <w:jc w:val="center"/>
              <w:rPr>
                <w:i/>
                <w:color w:val="000000"/>
                <w:sz w:val="20"/>
                <w:szCs w:val="20"/>
              </w:rPr>
            </w:pPr>
          </w:p>
        </w:tc>
        <w:tc>
          <w:tcPr>
            <w:tcW w:w="1742" w:type="dxa"/>
            <w:tcBorders>
              <w:top w:val="nil"/>
              <w:left w:val="nil"/>
              <w:bottom w:val="nil"/>
              <w:right w:val="nil"/>
            </w:tcBorders>
            <w:shd w:val="clear" w:color="auto" w:fill="auto"/>
            <w:noWrap/>
            <w:vAlign w:val="center"/>
          </w:tcPr>
          <w:p w14:paraId="0CEE99EA" w14:textId="77777777" w:rsidR="00090E3A" w:rsidRPr="00090E3A" w:rsidRDefault="00090E3A" w:rsidP="00090E3A">
            <w:pPr>
              <w:jc w:val="center"/>
              <w:rPr>
                <w:i/>
                <w:color w:val="000000"/>
                <w:sz w:val="20"/>
                <w:szCs w:val="20"/>
              </w:rPr>
            </w:pPr>
          </w:p>
        </w:tc>
        <w:tc>
          <w:tcPr>
            <w:tcW w:w="1742" w:type="dxa"/>
            <w:tcBorders>
              <w:top w:val="nil"/>
              <w:left w:val="nil"/>
              <w:bottom w:val="nil"/>
              <w:right w:val="nil"/>
            </w:tcBorders>
            <w:shd w:val="clear" w:color="auto" w:fill="auto"/>
            <w:noWrap/>
            <w:vAlign w:val="center"/>
          </w:tcPr>
          <w:p w14:paraId="38936ACB" w14:textId="77777777" w:rsidR="00090E3A" w:rsidRPr="00090E3A" w:rsidRDefault="00090E3A" w:rsidP="00090E3A">
            <w:pPr>
              <w:jc w:val="center"/>
              <w:rPr>
                <w:i/>
                <w:color w:val="000000"/>
                <w:sz w:val="20"/>
                <w:szCs w:val="20"/>
              </w:rPr>
            </w:pPr>
          </w:p>
        </w:tc>
        <w:tc>
          <w:tcPr>
            <w:tcW w:w="1415" w:type="dxa"/>
            <w:tcBorders>
              <w:top w:val="nil"/>
              <w:left w:val="nil"/>
              <w:bottom w:val="nil"/>
              <w:right w:val="nil"/>
            </w:tcBorders>
            <w:shd w:val="clear" w:color="auto" w:fill="auto"/>
            <w:noWrap/>
            <w:vAlign w:val="center"/>
          </w:tcPr>
          <w:p w14:paraId="0A74BDD9" w14:textId="77777777" w:rsidR="00090E3A" w:rsidRPr="00090E3A" w:rsidRDefault="00090E3A" w:rsidP="00090E3A">
            <w:pPr>
              <w:jc w:val="center"/>
              <w:rPr>
                <w:i/>
                <w:color w:val="000000"/>
                <w:sz w:val="20"/>
                <w:szCs w:val="20"/>
              </w:rPr>
            </w:pPr>
          </w:p>
        </w:tc>
        <w:tc>
          <w:tcPr>
            <w:tcW w:w="1742" w:type="dxa"/>
            <w:tcBorders>
              <w:top w:val="nil"/>
              <w:left w:val="single" w:sz="4" w:space="0" w:color="auto"/>
              <w:bottom w:val="nil"/>
              <w:right w:val="nil"/>
            </w:tcBorders>
            <w:shd w:val="clear" w:color="auto" w:fill="auto"/>
            <w:noWrap/>
            <w:vAlign w:val="center"/>
          </w:tcPr>
          <w:p w14:paraId="3BA3E7FA" w14:textId="77777777" w:rsidR="00090E3A" w:rsidRPr="00090E3A" w:rsidRDefault="00090E3A" w:rsidP="00090E3A">
            <w:pPr>
              <w:jc w:val="center"/>
              <w:rPr>
                <w:i/>
                <w:color w:val="000000"/>
                <w:sz w:val="20"/>
                <w:szCs w:val="20"/>
              </w:rPr>
            </w:pPr>
          </w:p>
        </w:tc>
        <w:tc>
          <w:tcPr>
            <w:tcW w:w="1407" w:type="dxa"/>
            <w:tcBorders>
              <w:top w:val="nil"/>
              <w:left w:val="nil"/>
              <w:bottom w:val="nil"/>
              <w:right w:val="nil"/>
            </w:tcBorders>
            <w:shd w:val="clear" w:color="auto" w:fill="auto"/>
            <w:noWrap/>
            <w:vAlign w:val="center"/>
          </w:tcPr>
          <w:p w14:paraId="1A0739DD" w14:textId="77777777" w:rsidR="00090E3A" w:rsidRPr="00090E3A" w:rsidRDefault="00090E3A" w:rsidP="00090E3A">
            <w:pPr>
              <w:jc w:val="center"/>
              <w:rPr>
                <w:i/>
                <w:color w:val="000000"/>
                <w:sz w:val="20"/>
                <w:szCs w:val="20"/>
              </w:rPr>
            </w:pPr>
          </w:p>
        </w:tc>
      </w:tr>
      <w:tr w:rsidR="00847F65" w:rsidRPr="00847F65" w14:paraId="52FC366E" w14:textId="77777777" w:rsidTr="005E2B4C">
        <w:trPr>
          <w:trHeight w:val="300"/>
        </w:trPr>
        <w:tc>
          <w:tcPr>
            <w:tcW w:w="2142" w:type="dxa"/>
            <w:tcBorders>
              <w:top w:val="nil"/>
              <w:left w:val="nil"/>
              <w:bottom w:val="nil"/>
              <w:right w:val="nil"/>
            </w:tcBorders>
            <w:shd w:val="clear" w:color="auto" w:fill="auto"/>
            <w:noWrap/>
            <w:vAlign w:val="center"/>
            <w:hideMark/>
          </w:tcPr>
          <w:p w14:paraId="160B3C31" w14:textId="77777777" w:rsidR="00847F65" w:rsidRPr="00090E3A" w:rsidRDefault="00847F65" w:rsidP="005E2B4C">
            <w:pPr>
              <w:rPr>
                <w:i/>
                <w:color w:val="000000"/>
                <w:sz w:val="20"/>
                <w:szCs w:val="20"/>
              </w:rPr>
            </w:pPr>
            <w:r w:rsidRPr="00090E3A">
              <w:rPr>
                <w:i/>
                <w:color w:val="000000"/>
                <w:sz w:val="20"/>
                <w:szCs w:val="20"/>
              </w:rPr>
              <w:t>Obs</w:t>
            </w:r>
          </w:p>
        </w:tc>
        <w:tc>
          <w:tcPr>
            <w:tcW w:w="1742" w:type="dxa"/>
            <w:tcBorders>
              <w:top w:val="nil"/>
              <w:left w:val="nil"/>
              <w:bottom w:val="nil"/>
              <w:right w:val="nil"/>
            </w:tcBorders>
            <w:shd w:val="clear" w:color="auto" w:fill="auto"/>
            <w:noWrap/>
            <w:vAlign w:val="center"/>
            <w:hideMark/>
          </w:tcPr>
          <w:p w14:paraId="4810E909" w14:textId="77777777" w:rsidR="00847F65" w:rsidRPr="00090E3A" w:rsidRDefault="00847F65" w:rsidP="00090E3A">
            <w:pPr>
              <w:jc w:val="center"/>
              <w:rPr>
                <w:i/>
                <w:color w:val="000000"/>
                <w:sz w:val="20"/>
                <w:szCs w:val="20"/>
              </w:rPr>
            </w:pPr>
            <w:r w:rsidRPr="00090E3A">
              <w:rPr>
                <w:i/>
                <w:color w:val="000000"/>
                <w:sz w:val="20"/>
                <w:szCs w:val="20"/>
              </w:rPr>
              <w:t>143771</w:t>
            </w:r>
          </w:p>
        </w:tc>
        <w:tc>
          <w:tcPr>
            <w:tcW w:w="1742" w:type="dxa"/>
            <w:tcBorders>
              <w:top w:val="nil"/>
              <w:left w:val="nil"/>
              <w:bottom w:val="nil"/>
              <w:right w:val="nil"/>
            </w:tcBorders>
            <w:shd w:val="clear" w:color="auto" w:fill="auto"/>
            <w:noWrap/>
            <w:vAlign w:val="center"/>
            <w:hideMark/>
          </w:tcPr>
          <w:p w14:paraId="4BC8D1D0" w14:textId="77777777" w:rsidR="00847F65" w:rsidRPr="00090E3A" w:rsidRDefault="00847F65" w:rsidP="00090E3A">
            <w:pPr>
              <w:jc w:val="center"/>
              <w:rPr>
                <w:i/>
                <w:color w:val="000000"/>
                <w:sz w:val="20"/>
                <w:szCs w:val="20"/>
              </w:rPr>
            </w:pPr>
            <w:r w:rsidRPr="00090E3A">
              <w:rPr>
                <w:i/>
                <w:color w:val="000000"/>
                <w:sz w:val="20"/>
                <w:szCs w:val="20"/>
              </w:rPr>
              <w:t>143771</w:t>
            </w:r>
          </w:p>
        </w:tc>
        <w:tc>
          <w:tcPr>
            <w:tcW w:w="1415" w:type="dxa"/>
            <w:tcBorders>
              <w:top w:val="nil"/>
              <w:left w:val="nil"/>
              <w:bottom w:val="nil"/>
              <w:right w:val="nil"/>
            </w:tcBorders>
            <w:shd w:val="clear" w:color="auto" w:fill="auto"/>
            <w:noWrap/>
            <w:vAlign w:val="center"/>
            <w:hideMark/>
          </w:tcPr>
          <w:p w14:paraId="722606B4" w14:textId="77777777" w:rsidR="00847F65" w:rsidRPr="00090E3A" w:rsidRDefault="00847F65" w:rsidP="00090E3A">
            <w:pPr>
              <w:jc w:val="center"/>
              <w:rPr>
                <w:i/>
                <w:color w:val="000000"/>
                <w:sz w:val="20"/>
                <w:szCs w:val="20"/>
              </w:rPr>
            </w:pPr>
            <w:r w:rsidRPr="00090E3A">
              <w:rPr>
                <w:i/>
                <w:color w:val="000000"/>
                <w:sz w:val="20"/>
                <w:szCs w:val="20"/>
              </w:rPr>
              <w:t>189543</w:t>
            </w:r>
          </w:p>
        </w:tc>
        <w:tc>
          <w:tcPr>
            <w:tcW w:w="1742" w:type="dxa"/>
            <w:tcBorders>
              <w:top w:val="nil"/>
              <w:left w:val="single" w:sz="4" w:space="0" w:color="auto"/>
              <w:bottom w:val="nil"/>
              <w:right w:val="nil"/>
            </w:tcBorders>
            <w:shd w:val="clear" w:color="auto" w:fill="auto"/>
            <w:noWrap/>
            <w:vAlign w:val="center"/>
            <w:hideMark/>
          </w:tcPr>
          <w:p w14:paraId="37DC280B" w14:textId="77777777" w:rsidR="00847F65" w:rsidRPr="00090E3A" w:rsidRDefault="00847F65" w:rsidP="00090E3A">
            <w:pPr>
              <w:jc w:val="center"/>
              <w:rPr>
                <w:i/>
                <w:color w:val="000000"/>
                <w:sz w:val="20"/>
                <w:szCs w:val="20"/>
              </w:rPr>
            </w:pPr>
            <w:r w:rsidRPr="00090E3A">
              <w:rPr>
                <w:i/>
                <w:color w:val="000000"/>
                <w:sz w:val="20"/>
                <w:szCs w:val="20"/>
              </w:rPr>
              <w:t>131212</w:t>
            </w:r>
          </w:p>
        </w:tc>
        <w:tc>
          <w:tcPr>
            <w:tcW w:w="1407" w:type="dxa"/>
            <w:tcBorders>
              <w:top w:val="nil"/>
              <w:left w:val="nil"/>
              <w:bottom w:val="nil"/>
              <w:right w:val="nil"/>
            </w:tcBorders>
            <w:shd w:val="clear" w:color="auto" w:fill="auto"/>
            <w:noWrap/>
            <w:vAlign w:val="center"/>
            <w:hideMark/>
          </w:tcPr>
          <w:p w14:paraId="13F90331" w14:textId="77777777" w:rsidR="00847F65" w:rsidRPr="00090E3A" w:rsidRDefault="00847F65" w:rsidP="00090E3A">
            <w:pPr>
              <w:jc w:val="center"/>
              <w:rPr>
                <w:i/>
                <w:color w:val="000000"/>
                <w:sz w:val="20"/>
                <w:szCs w:val="20"/>
              </w:rPr>
            </w:pPr>
            <w:r w:rsidRPr="00090E3A">
              <w:rPr>
                <w:i/>
                <w:color w:val="000000"/>
                <w:sz w:val="20"/>
                <w:szCs w:val="20"/>
              </w:rPr>
              <w:t>174317</w:t>
            </w:r>
          </w:p>
        </w:tc>
      </w:tr>
      <w:tr w:rsidR="00847F65" w:rsidRPr="00847F65" w14:paraId="4ABE54A3" w14:textId="77777777" w:rsidTr="005E2B4C">
        <w:trPr>
          <w:trHeight w:val="300"/>
        </w:trPr>
        <w:tc>
          <w:tcPr>
            <w:tcW w:w="2142" w:type="dxa"/>
            <w:tcBorders>
              <w:top w:val="nil"/>
              <w:left w:val="nil"/>
              <w:bottom w:val="nil"/>
              <w:right w:val="nil"/>
            </w:tcBorders>
            <w:shd w:val="clear" w:color="auto" w:fill="auto"/>
            <w:noWrap/>
            <w:vAlign w:val="center"/>
            <w:hideMark/>
          </w:tcPr>
          <w:p w14:paraId="30C10CAD" w14:textId="77777777" w:rsidR="00847F65" w:rsidRPr="00090E3A" w:rsidRDefault="00847F65" w:rsidP="005E2B4C">
            <w:pPr>
              <w:rPr>
                <w:i/>
                <w:color w:val="000000"/>
                <w:sz w:val="20"/>
                <w:szCs w:val="20"/>
              </w:rPr>
            </w:pPr>
            <w:r w:rsidRPr="00090E3A">
              <w:rPr>
                <w:i/>
                <w:color w:val="000000"/>
                <w:sz w:val="20"/>
                <w:szCs w:val="20"/>
              </w:rPr>
              <w:t>Countries</w:t>
            </w:r>
          </w:p>
        </w:tc>
        <w:tc>
          <w:tcPr>
            <w:tcW w:w="1742" w:type="dxa"/>
            <w:tcBorders>
              <w:top w:val="nil"/>
              <w:left w:val="nil"/>
              <w:bottom w:val="nil"/>
              <w:right w:val="nil"/>
            </w:tcBorders>
            <w:shd w:val="clear" w:color="auto" w:fill="auto"/>
            <w:noWrap/>
            <w:vAlign w:val="center"/>
            <w:hideMark/>
          </w:tcPr>
          <w:p w14:paraId="79102635" w14:textId="77777777" w:rsidR="00847F65" w:rsidRPr="00090E3A" w:rsidRDefault="00847F65" w:rsidP="00090E3A">
            <w:pPr>
              <w:jc w:val="center"/>
              <w:rPr>
                <w:i/>
                <w:color w:val="000000"/>
                <w:sz w:val="20"/>
                <w:szCs w:val="20"/>
              </w:rPr>
            </w:pPr>
            <w:r w:rsidRPr="00090E3A">
              <w:rPr>
                <w:i/>
                <w:color w:val="000000"/>
                <w:sz w:val="20"/>
                <w:szCs w:val="20"/>
              </w:rPr>
              <w:t>22</w:t>
            </w:r>
          </w:p>
        </w:tc>
        <w:tc>
          <w:tcPr>
            <w:tcW w:w="1742" w:type="dxa"/>
            <w:tcBorders>
              <w:top w:val="nil"/>
              <w:left w:val="nil"/>
              <w:bottom w:val="nil"/>
              <w:right w:val="nil"/>
            </w:tcBorders>
            <w:shd w:val="clear" w:color="auto" w:fill="auto"/>
            <w:noWrap/>
            <w:vAlign w:val="center"/>
            <w:hideMark/>
          </w:tcPr>
          <w:p w14:paraId="7B96A587" w14:textId="77777777" w:rsidR="00847F65" w:rsidRPr="00090E3A" w:rsidRDefault="00847F65" w:rsidP="00090E3A">
            <w:pPr>
              <w:jc w:val="center"/>
              <w:rPr>
                <w:i/>
                <w:color w:val="000000"/>
                <w:sz w:val="20"/>
                <w:szCs w:val="20"/>
              </w:rPr>
            </w:pPr>
            <w:r w:rsidRPr="00090E3A">
              <w:rPr>
                <w:i/>
                <w:color w:val="000000"/>
                <w:sz w:val="20"/>
                <w:szCs w:val="20"/>
              </w:rPr>
              <w:t>22</w:t>
            </w:r>
          </w:p>
        </w:tc>
        <w:tc>
          <w:tcPr>
            <w:tcW w:w="1415" w:type="dxa"/>
            <w:tcBorders>
              <w:top w:val="nil"/>
              <w:left w:val="nil"/>
              <w:bottom w:val="nil"/>
              <w:right w:val="nil"/>
            </w:tcBorders>
            <w:shd w:val="clear" w:color="auto" w:fill="auto"/>
            <w:noWrap/>
            <w:vAlign w:val="center"/>
            <w:hideMark/>
          </w:tcPr>
          <w:p w14:paraId="5D5929FF" w14:textId="77777777" w:rsidR="00847F65" w:rsidRPr="00090E3A" w:rsidRDefault="00847F65" w:rsidP="00090E3A">
            <w:pPr>
              <w:jc w:val="center"/>
              <w:rPr>
                <w:i/>
                <w:color w:val="000000"/>
                <w:sz w:val="20"/>
                <w:szCs w:val="20"/>
              </w:rPr>
            </w:pPr>
            <w:r w:rsidRPr="00090E3A">
              <w:rPr>
                <w:i/>
                <w:color w:val="000000"/>
                <w:sz w:val="20"/>
                <w:szCs w:val="20"/>
              </w:rPr>
              <w:t>22</w:t>
            </w:r>
          </w:p>
        </w:tc>
        <w:tc>
          <w:tcPr>
            <w:tcW w:w="1742" w:type="dxa"/>
            <w:tcBorders>
              <w:top w:val="nil"/>
              <w:left w:val="single" w:sz="4" w:space="0" w:color="auto"/>
              <w:bottom w:val="nil"/>
              <w:right w:val="nil"/>
            </w:tcBorders>
            <w:shd w:val="clear" w:color="auto" w:fill="auto"/>
            <w:noWrap/>
            <w:vAlign w:val="center"/>
            <w:hideMark/>
          </w:tcPr>
          <w:p w14:paraId="40AD0283" w14:textId="77777777" w:rsidR="00847F65" w:rsidRPr="00090E3A" w:rsidRDefault="00847F65" w:rsidP="00090E3A">
            <w:pPr>
              <w:jc w:val="center"/>
              <w:rPr>
                <w:i/>
                <w:color w:val="000000"/>
                <w:sz w:val="20"/>
                <w:szCs w:val="20"/>
              </w:rPr>
            </w:pPr>
            <w:r w:rsidRPr="00090E3A">
              <w:rPr>
                <w:i/>
                <w:color w:val="000000"/>
                <w:sz w:val="20"/>
                <w:szCs w:val="20"/>
              </w:rPr>
              <w:t>22</w:t>
            </w:r>
          </w:p>
        </w:tc>
        <w:tc>
          <w:tcPr>
            <w:tcW w:w="1407" w:type="dxa"/>
            <w:tcBorders>
              <w:top w:val="nil"/>
              <w:left w:val="nil"/>
              <w:bottom w:val="nil"/>
              <w:right w:val="nil"/>
            </w:tcBorders>
            <w:shd w:val="clear" w:color="auto" w:fill="auto"/>
            <w:noWrap/>
            <w:vAlign w:val="center"/>
            <w:hideMark/>
          </w:tcPr>
          <w:p w14:paraId="4846447D" w14:textId="77777777" w:rsidR="00847F65" w:rsidRPr="00090E3A" w:rsidRDefault="00847F65" w:rsidP="00090E3A">
            <w:pPr>
              <w:jc w:val="center"/>
              <w:rPr>
                <w:i/>
                <w:color w:val="000000"/>
                <w:sz w:val="20"/>
                <w:szCs w:val="20"/>
              </w:rPr>
            </w:pPr>
            <w:r w:rsidRPr="00090E3A">
              <w:rPr>
                <w:i/>
                <w:color w:val="000000"/>
                <w:sz w:val="20"/>
                <w:szCs w:val="20"/>
              </w:rPr>
              <w:t>22</w:t>
            </w:r>
          </w:p>
        </w:tc>
      </w:tr>
      <w:tr w:rsidR="00847F65" w:rsidRPr="00847F65" w14:paraId="19FCAA17" w14:textId="77777777" w:rsidTr="005E2B4C">
        <w:trPr>
          <w:trHeight w:val="300"/>
        </w:trPr>
        <w:tc>
          <w:tcPr>
            <w:tcW w:w="2142" w:type="dxa"/>
            <w:tcBorders>
              <w:top w:val="nil"/>
              <w:left w:val="nil"/>
              <w:bottom w:val="nil"/>
              <w:right w:val="nil"/>
            </w:tcBorders>
            <w:shd w:val="clear" w:color="auto" w:fill="auto"/>
            <w:noWrap/>
            <w:vAlign w:val="center"/>
            <w:hideMark/>
          </w:tcPr>
          <w:p w14:paraId="02C1DA45" w14:textId="77777777" w:rsidR="00847F65" w:rsidRPr="00090E3A" w:rsidRDefault="00847F65" w:rsidP="005E2B4C">
            <w:pPr>
              <w:rPr>
                <w:i/>
                <w:color w:val="000000"/>
                <w:sz w:val="20"/>
                <w:szCs w:val="20"/>
              </w:rPr>
            </w:pPr>
            <w:r w:rsidRPr="00090E3A">
              <w:rPr>
                <w:i/>
                <w:color w:val="000000"/>
                <w:sz w:val="20"/>
                <w:szCs w:val="20"/>
              </w:rPr>
              <w:t>No. Products</w:t>
            </w:r>
          </w:p>
        </w:tc>
        <w:tc>
          <w:tcPr>
            <w:tcW w:w="1742" w:type="dxa"/>
            <w:tcBorders>
              <w:top w:val="nil"/>
              <w:left w:val="nil"/>
              <w:bottom w:val="nil"/>
              <w:right w:val="nil"/>
            </w:tcBorders>
            <w:shd w:val="clear" w:color="auto" w:fill="auto"/>
            <w:noWrap/>
            <w:vAlign w:val="center"/>
            <w:hideMark/>
          </w:tcPr>
          <w:p w14:paraId="61DF2F81" w14:textId="77777777" w:rsidR="00847F65" w:rsidRPr="00090E3A" w:rsidRDefault="00847F65" w:rsidP="00090E3A">
            <w:pPr>
              <w:jc w:val="center"/>
              <w:rPr>
                <w:i/>
                <w:color w:val="000000"/>
                <w:sz w:val="20"/>
                <w:szCs w:val="20"/>
              </w:rPr>
            </w:pPr>
            <w:r w:rsidRPr="00090E3A">
              <w:rPr>
                <w:i/>
                <w:color w:val="000000"/>
                <w:sz w:val="20"/>
                <w:szCs w:val="20"/>
              </w:rPr>
              <w:t>413</w:t>
            </w:r>
          </w:p>
        </w:tc>
        <w:tc>
          <w:tcPr>
            <w:tcW w:w="1742" w:type="dxa"/>
            <w:tcBorders>
              <w:top w:val="nil"/>
              <w:left w:val="nil"/>
              <w:bottom w:val="nil"/>
              <w:right w:val="nil"/>
            </w:tcBorders>
            <w:shd w:val="clear" w:color="auto" w:fill="auto"/>
            <w:noWrap/>
            <w:vAlign w:val="center"/>
            <w:hideMark/>
          </w:tcPr>
          <w:p w14:paraId="4A2E48AC" w14:textId="77777777" w:rsidR="00847F65" w:rsidRPr="00090E3A" w:rsidRDefault="00847F65" w:rsidP="00090E3A">
            <w:pPr>
              <w:jc w:val="center"/>
              <w:rPr>
                <w:i/>
                <w:color w:val="000000"/>
                <w:sz w:val="20"/>
                <w:szCs w:val="20"/>
              </w:rPr>
            </w:pPr>
            <w:r w:rsidRPr="00090E3A">
              <w:rPr>
                <w:i/>
                <w:color w:val="000000"/>
                <w:sz w:val="20"/>
                <w:szCs w:val="20"/>
              </w:rPr>
              <w:t>413</w:t>
            </w:r>
          </w:p>
        </w:tc>
        <w:tc>
          <w:tcPr>
            <w:tcW w:w="1415" w:type="dxa"/>
            <w:tcBorders>
              <w:top w:val="nil"/>
              <w:left w:val="nil"/>
              <w:bottom w:val="nil"/>
              <w:right w:val="nil"/>
            </w:tcBorders>
            <w:shd w:val="clear" w:color="auto" w:fill="auto"/>
            <w:noWrap/>
            <w:vAlign w:val="center"/>
            <w:hideMark/>
          </w:tcPr>
          <w:p w14:paraId="6CA6D309" w14:textId="77777777" w:rsidR="00847F65" w:rsidRPr="00090E3A" w:rsidRDefault="00847F65" w:rsidP="00090E3A">
            <w:pPr>
              <w:jc w:val="center"/>
              <w:rPr>
                <w:i/>
                <w:color w:val="000000"/>
                <w:sz w:val="20"/>
                <w:szCs w:val="20"/>
              </w:rPr>
            </w:pPr>
            <w:r w:rsidRPr="00090E3A">
              <w:rPr>
                <w:i/>
                <w:color w:val="000000"/>
                <w:sz w:val="20"/>
                <w:szCs w:val="20"/>
              </w:rPr>
              <w:t>591</w:t>
            </w:r>
          </w:p>
        </w:tc>
        <w:tc>
          <w:tcPr>
            <w:tcW w:w="1742" w:type="dxa"/>
            <w:tcBorders>
              <w:top w:val="nil"/>
              <w:left w:val="single" w:sz="4" w:space="0" w:color="auto"/>
              <w:bottom w:val="nil"/>
              <w:right w:val="nil"/>
            </w:tcBorders>
            <w:shd w:val="clear" w:color="auto" w:fill="auto"/>
            <w:noWrap/>
            <w:vAlign w:val="center"/>
            <w:hideMark/>
          </w:tcPr>
          <w:p w14:paraId="56FAF754" w14:textId="77777777" w:rsidR="00847F65" w:rsidRPr="00090E3A" w:rsidRDefault="00847F65" w:rsidP="00090E3A">
            <w:pPr>
              <w:jc w:val="center"/>
              <w:rPr>
                <w:i/>
                <w:color w:val="000000"/>
                <w:sz w:val="20"/>
                <w:szCs w:val="20"/>
              </w:rPr>
            </w:pPr>
            <w:r w:rsidRPr="00090E3A">
              <w:rPr>
                <w:i/>
                <w:color w:val="000000"/>
                <w:sz w:val="20"/>
                <w:szCs w:val="20"/>
              </w:rPr>
              <w:t>333</w:t>
            </w:r>
          </w:p>
        </w:tc>
        <w:tc>
          <w:tcPr>
            <w:tcW w:w="1407" w:type="dxa"/>
            <w:tcBorders>
              <w:top w:val="nil"/>
              <w:left w:val="nil"/>
              <w:bottom w:val="nil"/>
              <w:right w:val="nil"/>
            </w:tcBorders>
            <w:shd w:val="clear" w:color="auto" w:fill="auto"/>
            <w:noWrap/>
            <w:vAlign w:val="center"/>
            <w:hideMark/>
          </w:tcPr>
          <w:p w14:paraId="74EF437B" w14:textId="77777777" w:rsidR="00847F65" w:rsidRPr="00090E3A" w:rsidRDefault="00847F65" w:rsidP="00090E3A">
            <w:pPr>
              <w:jc w:val="center"/>
              <w:rPr>
                <w:i/>
                <w:color w:val="000000"/>
                <w:sz w:val="20"/>
                <w:szCs w:val="20"/>
              </w:rPr>
            </w:pPr>
            <w:r w:rsidRPr="00090E3A">
              <w:rPr>
                <w:i/>
                <w:color w:val="000000"/>
                <w:sz w:val="20"/>
                <w:szCs w:val="20"/>
              </w:rPr>
              <w:t>485</w:t>
            </w:r>
          </w:p>
        </w:tc>
      </w:tr>
      <w:tr w:rsidR="00847F65" w:rsidRPr="00847F65" w14:paraId="0185DB8F" w14:textId="77777777" w:rsidTr="005E2B4C">
        <w:trPr>
          <w:trHeight w:val="300"/>
        </w:trPr>
        <w:tc>
          <w:tcPr>
            <w:tcW w:w="2142" w:type="dxa"/>
            <w:tcBorders>
              <w:top w:val="nil"/>
              <w:left w:val="nil"/>
              <w:bottom w:val="nil"/>
              <w:right w:val="nil"/>
            </w:tcBorders>
            <w:shd w:val="clear" w:color="auto" w:fill="auto"/>
            <w:noWrap/>
            <w:vAlign w:val="center"/>
            <w:hideMark/>
          </w:tcPr>
          <w:p w14:paraId="0D15F71F" w14:textId="77777777" w:rsidR="00847F65" w:rsidRPr="00090E3A" w:rsidRDefault="001521FE" w:rsidP="005E2B4C">
            <w:pPr>
              <w:rPr>
                <w:i/>
                <w:color w:val="000000"/>
                <w:sz w:val="20"/>
                <w:szCs w:val="20"/>
              </w:rPr>
            </w:pPr>
            <m:oMathPara>
              <m:oMathParaPr>
                <m:jc m:val="left"/>
              </m:oMathParaPr>
              <m:oMath>
                <m:sSup>
                  <m:sSupPr>
                    <m:ctrlPr>
                      <w:rPr>
                        <w:rFonts w:ascii="Cambria Math" w:hAnsi="Cambria Math"/>
                        <w:i/>
                        <w:color w:val="000000"/>
                        <w:sz w:val="20"/>
                        <w:szCs w:val="20"/>
                      </w:rPr>
                    </m:ctrlPr>
                  </m:sSupPr>
                  <m:e>
                    <m:r>
                      <w:rPr>
                        <w:rFonts w:ascii="Cambria Math" w:hAnsi="Cambria Math"/>
                        <w:color w:val="000000"/>
                        <w:sz w:val="20"/>
                        <w:szCs w:val="20"/>
                      </w:rPr>
                      <m:t>R</m:t>
                    </m:r>
                  </m:e>
                  <m:sup>
                    <m:r>
                      <w:rPr>
                        <w:rFonts w:ascii="Cambria Math" w:hAnsi="Cambria Math"/>
                        <w:color w:val="000000"/>
                        <w:sz w:val="20"/>
                        <w:szCs w:val="20"/>
                      </w:rPr>
                      <m:t>2</m:t>
                    </m:r>
                  </m:sup>
                </m:sSup>
              </m:oMath>
            </m:oMathPara>
          </w:p>
        </w:tc>
        <w:tc>
          <w:tcPr>
            <w:tcW w:w="1742" w:type="dxa"/>
            <w:tcBorders>
              <w:top w:val="nil"/>
              <w:left w:val="nil"/>
              <w:bottom w:val="nil"/>
              <w:right w:val="nil"/>
            </w:tcBorders>
            <w:shd w:val="clear" w:color="auto" w:fill="auto"/>
            <w:noWrap/>
            <w:vAlign w:val="center"/>
            <w:hideMark/>
          </w:tcPr>
          <w:p w14:paraId="1EB60DAC" w14:textId="77777777" w:rsidR="00847F65" w:rsidRPr="00090E3A" w:rsidRDefault="00847F65" w:rsidP="00090E3A">
            <w:pPr>
              <w:jc w:val="center"/>
              <w:rPr>
                <w:i/>
                <w:color w:val="000000"/>
                <w:sz w:val="20"/>
                <w:szCs w:val="20"/>
              </w:rPr>
            </w:pPr>
            <w:r w:rsidRPr="00090E3A">
              <w:rPr>
                <w:i/>
                <w:color w:val="000000"/>
                <w:sz w:val="20"/>
                <w:szCs w:val="20"/>
              </w:rPr>
              <w:t>0.195</w:t>
            </w:r>
          </w:p>
        </w:tc>
        <w:tc>
          <w:tcPr>
            <w:tcW w:w="1742" w:type="dxa"/>
            <w:tcBorders>
              <w:top w:val="nil"/>
              <w:left w:val="nil"/>
              <w:bottom w:val="nil"/>
              <w:right w:val="nil"/>
            </w:tcBorders>
            <w:shd w:val="clear" w:color="auto" w:fill="auto"/>
            <w:noWrap/>
            <w:vAlign w:val="center"/>
            <w:hideMark/>
          </w:tcPr>
          <w:p w14:paraId="493735CF" w14:textId="77777777" w:rsidR="00847F65" w:rsidRPr="00090E3A" w:rsidRDefault="00847F65" w:rsidP="00090E3A">
            <w:pPr>
              <w:jc w:val="center"/>
              <w:rPr>
                <w:i/>
                <w:color w:val="000000"/>
                <w:sz w:val="20"/>
                <w:szCs w:val="20"/>
              </w:rPr>
            </w:pPr>
            <w:r w:rsidRPr="00090E3A">
              <w:rPr>
                <w:i/>
                <w:color w:val="000000"/>
                <w:sz w:val="20"/>
                <w:szCs w:val="20"/>
              </w:rPr>
              <w:t>0.195</w:t>
            </w:r>
          </w:p>
        </w:tc>
        <w:tc>
          <w:tcPr>
            <w:tcW w:w="1415" w:type="dxa"/>
            <w:tcBorders>
              <w:top w:val="nil"/>
              <w:left w:val="nil"/>
              <w:bottom w:val="nil"/>
              <w:right w:val="nil"/>
            </w:tcBorders>
            <w:shd w:val="clear" w:color="auto" w:fill="auto"/>
            <w:noWrap/>
            <w:vAlign w:val="center"/>
            <w:hideMark/>
          </w:tcPr>
          <w:p w14:paraId="6618141F" w14:textId="77777777" w:rsidR="00847F65" w:rsidRPr="00090E3A" w:rsidRDefault="00847F65" w:rsidP="00090E3A">
            <w:pPr>
              <w:jc w:val="center"/>
              <w:rPr>
                <w:i/>
                <w:color w:val="000000"/>
                <w:sz w:val="20"/>
                <w:szCs w:val="20"/>
              </w:rPr>
            </w:pPr>
            <w:r w:rsidRPr="00090E3A">
              <w:rPr>
                <w:i/>
                <w:color w:val="000000"/>
                <w:sz w:val="20"/>
                <w:szCs w:val="20"/>
              </w:rPr>
              <w:t>0.177</w:t>
            </w:r>
          </w:p>
        </w:tc>
        <w:tc>
          <w:tcPr>
            <w:tcW w:w="1742" w:type="dxa"/>
            <w:tcBorders>
              <w:top w:val="nil"/>
              <w:left w:val="single" w:sz="4" w:space="0" w:color="auto"/>
              <w:bottom w:val="nil"/>
              <w:right w:val="nil"/>
            </w:tcBorders>
            <w:shd w:val="clear" w:color="auto" w:fill="auto"/>
            <w:noWrap/>
            <w:vAlign w:val="center"/>
            <w:hideMark/>
          </w:tcPr>
          <w:p w14:paraId="44C8E5DE" w14:textId="77777777" w:rsidR="00847F65" w:rsidRPr="00090E3A" w:rsidRDefault="00847F65" w:rsidP="00090E3A">
            <w:pPr>
              <w:jc w:val="center"/>
              <w:rPr>
                <w:i/>
                <w:color w:val="000000"/>
                <w:sz w:val="20"/>
                <w:szCs w:val="20"/>
              </w:rPr>
            </w:pPr>
            <w:r w:rsidRPr="00090E3A">
              <w:rPr>
                <w:i/>
                <w:color w:val="000000"/>
                <w:sz w:val="20"/>
                <w:szCs w:val="20"/>
              </w:rPr>
              <w:t>0.195</w:t>
            </w:r>
          </w:p>
        </w:tc>
        <w:tc>
          <w:tcPr>
            <w:tcW w:w="1407" w:type="dxa"/>
            <w:tcBorders>
              <w:top w:val="nil"/>
              <w:left w:val="nil"/>
              <w:bottom w:val="nil"/>
              <w:right w:val="nil"/>
            </w:tcBorders>
            <w:shd w:val="clear" w:color="auto" w:fill="auto"/>
            <w:noWrap/>
            <w:vAlign w:val="center"/>
            <w:hideMark/>
          </w:tcPr>
          <w:p w14:paraId="6A27521C" w14:textId="77777777" w:rsidR="00847F65" w:rsidRPr="00090E3A" w:rsidRDefault="00847F65" w:rsidP="00090E3A">
            <w:pPr>
              <w:jc w:val="center"/>
              <w:rPr>
                <w:i/>
                <w:color w:val="000000"/>
                <w:sz w:val="20"/>
                <w:szCs w:val="20"/>
              </w:rPr>
            </w:pPr>
            <w:r w:rsidRPr="00090E3A">
              <w:rPr>
                <w:i/>
                <w:color w:val="000000"/>
                <w:sz w:val="20"/>
                <w:szCs w:val="20"/>
              </w:rPr>
              <w:t>0.176</w:t>
            </w:r>
          </w:p>
        </w:tc>
      </w:tr>
      <w:tr w:rsidR="00847F65" w:rsidRPr="00847F65" w14:paraId="3114F034" w14:textId="77777777" w:rsidTr="005E2B4C">
        <w:trPr>
          <w:trHeight w:val="300"/>
        </w:trPr>
        <w:tc>
          <w:tcPr>
            <w:tcW w:w="2142" w:type="dxa"/>
            <w:tcBorders>
              <w:top w:val="nil"/>
              <w:left w:val="nil"/>
              <w:bottom w:val="nil"/>
              <w:right w:val="nil"/>
            </w:tcBorders>
            <w:shd w:val="clear" w:color="auto" w:fill="auto"/>
            <w:noWrap/>
            <w:vAlign w:val="center"/>
            <w:hideMark/>
          </w:tcPr>
          <w:p w14:paraId="0744B932" w14:textId="77777777" w:rsidR="00847F65" w:rsidRPr="00090E3A" w:rsidRDefault="00847F65" w:rsidP="005E2B4C">
            <w:pPr>
              <w:rPr>
                <w:i/>
                <w:color w:val="000000"/>
                <w:sz w:val="20"/>
                <w:szCs w:val="20"/>
              </w:rPr>
            </w:pPr>
            <w:r w:rsidRPr="00090E3A">
              <w:rPr>
                <w:i/>
                <w:color w:val="000000"/>
                <w:sz w:val="20"/>
                <w:szCs w:val="20"/>
              </w:rPr>
              <w:t>FE</w:t>
            </w:r>
          </w:p>
        </w:tc>
        <w:tc>
          <w:tcPr>
            <w:tcW w:w="1742" w:type="dxa"/>
            <w:tcBorders>
              <w:top w:val="nil"/>
              <w:left w:val="nil"/>
              <w:bottom w:val="nil"/>
              <w:right w:val="nil"/>
            </w:tcBorders>
            <w:shd w:val="clear" w:color="auto" w:fill="auto"/>
            <w:noWrap/>
            <w:vAlign w:val="center"/>
            <w:hideMark/>
          </w:tcPr>
          <w:p w14:paraId="72816823" w14:textId="77777777" w:rsidR="00847F65" w:rsidRPr="00090E3A" w:rsidRDefault="00847F65" w:rsidP="00090E3A">
            <w:pPr>
              <w:jc w:val="center"/>
              <w:rPr>
                <w:i/>
                <w:color w:val="000000"/>
                <w:sz w:val="20"/>
                <w:szCs w:val="20"/>
              </w:rPr>
            </w:pPr>
            <w:r w:rsidRPr="00090E3A">
              <w:rPr>
                <w:i/>
                <w:color w:val="000000"/>
                <w:sz w:val="20"/>
                <w:szCs w:val="20"/>
              </w:rPr>
              <w:t>it,jt,kt</w:t>
            </w:r>
          </w:p>
        </w:tc>
        <w:tc>
          <w:tcPr>
            <w:tcW w:w="1742" w:type="dxa"/>
            <w:tcBorders>
              <w:top w:val="nil"/>
              <w:left w:val="nil"/>
              <w:bottom w:val="nil"/>
              <w:right w:val="nil"/>
            </w:tcBorders>
            <w:shd w:val="clear" w:color="auto" w:fill="auto"/>
            <w:noWrap/>
            <w:vAlign w:val="center"/>
            <w:hideMark/>
          </w:tcPr>
          <w:p w14:paraId="6984FC2A" w14:textId="77777777" w:rsidR="00847F65" w:rsidRPr="00090E3A" w:rsidRDefault="00847F65" w:rsidP="00090E3A">
            <w:pPr>
              <w:jc w:val="center"/>
              <w:rPr>
                <w:i/>
                <w:color w:val="000000"/>
                <w:sz w:val="20"/>
                <w:szCs w:val="20"/>
              </w:rPr>
            </w:pPr>
            <w:r w:rsidRPr="00090E3A">
              <w:rPr>
                <w:i/>
                <w:color w:val="000000"/>
                <w:sz w:val="20"/>
                <w:szCs w:val="20"/>
              </w:rPr>
              <w:t>it,jt,kt</w:t>
            </w:r>
          </w:p>
        </w:tc>
        <w:tc>
          <w:tcPr>
            <w:tcW w:w="1415" w:type="dxa"/>
            <w:tcBorders>
              <w:top w:val="nil"/>
              <w:left w:val="nil"/>
              <w:bottom w:val="nil"/>
              <w:right w:val="nil"/>
            </w:tcBorders>
            <w:shd w:val="clear" w:color="auto" w:fill="auto"/>
            <w:noWrap/>
            <w:vAlign w:val="center"/>
            <w:hideMark/>
          </w:tcPr>
          <w:p w14:paraId="2DCAB9A4" w14:textId="77777777" w:rsidR="00847F65" w:rsidRPr="00090E3A" w:rsidRDefault="00847F65" w:rsidP="00090E3A">
            <w:pPr>
              <w:jc w:val="center"/>
              <w:rPr>
                <w:i/>
                <w:color w:val="000000"/>
                <w:sz w:val="20"/>
                <w:szCs w:val="20"/>
              </w:rPr>
            </w:pPr>
            <w:r w:rsidRPr="00090E3A">
              <w:rPr>
                <w:i/>
                <w:color w:val="000000"/>
                <w:sz w:val="20"/>
                <w:szCs w:val="20"/>
              </w:rPr>
              <w:t>it,jt,kt</w:t>
            </w:r>
          </w:p>
        </w:tc>
        <w:tc>
          <w:tcPr>
            <w:tcW w:w="1742" w:type="dxa"/>
            <w:tcBorders>
              <w:top w:val="nil"/>
              <w:left w:val="single" w:sz="4" w:space="0" w:color="auto"/>
              <w:bottom w:val="nil"/>
              <w:right w:val="nil"/>
            </w:tcBorders>
            <w:shd w:val="clear" w:color="auto" w:fill="auto"/>
            <w:noWrap/>
            <w:vAlign w:val="center"/>
            <w:hideMark/>
          </w:tcPr>
          <w:p w14:paraId="55408F02" w14:textId="77777777" w:rsidR="00847F65" w:rsidRPr="00090E3A" w:rsidRDefault="00847F65" w:rsidP="00090E3A">
            <w:pPr>
              <w:jc w:val="center"/>
              <w:rPr>
                <w:i/>
                <w:color w:val="000000"/>
                <w:sz w:val="20"/>
                <w:szCs w:val="20"/>
              </w:rPr>
            </w:pPr>
            <w:r w:rsidRPr="00090E3A">
              <w:rPr>
                <w:i/>
                <w:color w:val="000000"/>
                <w:sz w:val="20"/>
                <w:szCs w:val="20"/>
              </w:rPr>
              <w:t>it,jt,kt</w:t>
            </w:r>
          </w:p>
        </w:tc>
        <w:tc>
          <w:tcPr>
            <w:tcW w:w="1407" w:type="dxa"/>
            <w:tcBorders>
              <w:top w:val="nil"/>
              <w:left w:val="nil"/>
              <w:bottom w:val="nil"/>
              <w:right w:val="nil"/>
            </w:tcBorders>
            <w:shd w:val="clear" w:color="auto" w:fill="auto"/>
            <w:noWrap/>
            <w:vAlign w:val="center"/>
            <w:hideMark/>
          </w:tcPr>
          <w:p w14:paraId="28BB360A" w14:textId="77777777" w:rsidR="00847F65" w:rsidRPr="00090E3A" w:rsidRDefault="00847F65" w:rsidP="00090E3A">
            <w:pPr>
              <w:jc w:val="center"/>
              <w:rPr>
                <w:i/>
                <w:color w:val="000000"/>
                <w:sz w:val="20"/>
                <w:szCs w:val="20"/>
              </w:rPr>
            </w:pPr>
            <w:r w:rsidRPr="00090E3A">
              <w:rPr>
                <w:i/>
                <w:color w:val="000000"/>
                <w:sz w:val="20"/>
                <w:szCs w:val="20"/>
              </w:rPr>
              <w:t>it,jt,kt</w:t>
            </w:r>
          </w:p>
        </w:tc>
      </w:tr>
      <w:tr w:rsidR="00847F65" w:rsidRPr="00847F65" w14:paraId="05964BCB" w14:textId="77777777" w:rsidTr="005E2B4C">
        <w:trPr>
          <w:trHeight w:val="300"/>
        </w:trPr>
        <w:tc>
          <w:tcPr>
            <w:tcW w:w="2142" w:type="dxa"/>
            <w:tcBorders>
              <w:top w:val="nil"/>
              <w:left w:val="nil"/>
              <w:bottom w:val="single" w:sz="4" w:space="0" w:color="auto"/>
              <w:right w:val="nil"/>
            </w:tcBorders>
            <w:shd w:val="clear" w:color="auto" w:fill="auto"/>
            <w:noWrap/>
            <w:vAlign w:val="center"/>
            <w:hideMark/>
          </w:tcPr>
          <w:p w14:paraId="0B4FDB2D" w14:textId="77777777" w:rsidR="00847F65" w:rsidRPr="00090E3A" w:rsidRDefault="00090E3A" w:rsidP="005E2B4C">
            <w:pPr>
              <w:rPr>
                <w:i/>
                <w:color w:val="000000"/>
                <w:sz w:val="20"/>
                <w:szCs w:val="20"/>
              </w:rPr>
            </w:pPr>
            <m:oMathPara>
              <m:oMathParaPr>
                <m:jc m:val="left"/>
              </m:oMathParaPr>
              <m:oMath>
                <m:r>
                  <w:rPr>
                    <w:rFonts w:ascii="Cambria Math" w:hAnsi="Cambria Math"/>
                    <w:color w:val="000000"/>
                    <w:sz w:val="20"/>
                    <w:szCs w:val="20"/>
                  </w:rPr>
                  <m:t>Total AT</m:t>
                </m:r>
                <m:sSup>
                  <m:sSupPr>
                    <m:ctrlPr>
                      <w:rPr>
                        <w:rFonts w:ascii="Cambria Math" w:hAnsi="Cambria Math"/>
                        <w:i/>
                        <w:color w:val="000000"/>
                        <w:sz w:val="20"/>
                        <w:szCs w:val="20"/>
                      </w:rPr>
                    </m:ctrlPr>
                  </m:sSupPr>
                  <m:e>
                    <m:r>
                      <w:rPr>
                        <w:rFonts w:ascii="Cambria Math" w:hAnsi="Cambria Math"/>
                        <w:color w:val="000000"/>
                        <w:sz w:val="20"/>
                        <w:szCs w:val="20"/>
                      </w:rPr>
                      <m:t>E</m:t>
                    </m:r>
                  </m:e>
                  <m:sup>
                    <m:r>
                      <w:rPr>
                        <w:rFonts w:ascii="Cambria Math" w:hAnsi="Cambria Math"/>
                        <w:color w:val="000000"/>
                        <w:sz w:val="20"/>
                        <w:szCs w:val="20"/>
                      </w:rPr>
                      <m:t>a</m:t>
                    </m:r>
                  </m:sup>
                </m:sSup>
              </m:oMath>
            </m:oMathPara>
          </w:p>
        </w:tc>
        <w:tc>
          <w:tcPr>
            <w:tcW w:w="1742" w:type="dxa"/>
            <w:tcBorders>
              <w:top w:val="nil"/>
              <w:left w:val="nil"/>
              <w:bottom w:val="single" w:sz="4" w:space="0" w:color="auto"/>
              <w:right w:val="nil"/>
            </w:tcBorders>
            <w:shd w:val="clear" w:color="auto" w:fill="auto"/>
            <w:noWrap/>
            <w:vAlign w:val="center"/>
            <w:hideMark/>
          </w:tcPr>
          <w:p w14:paraId="1198107D" w14:textId="77777777" w:rsidR="00847F65" w:rsidRPr="00090E3A" w:rsidRDefault="00847F65" w:rsidP="00090E3A">
            <w:pPr>
              <w:jc w:val="center"/>
              <w:rPr>
                <w:i/>
                <w:color w:val="000000"/>
                <w:sz w:val="20"/>
                <w:szCs w:val="20"/>
              </w:rPr>
            </w:pPr>
            <w:r w:rsidRPr="00090E3A">
              <w:rPr>
                <w:i/>
                <w:color w:val="000000"/>
                <w:sz w:val="20"/>
                <w:szCs w:val="20"/>
              </w:rPr>
              <w:t>790%</w:t>
            </w:r>
          </w:p>
        </w:tc>
        <w:tc>
          <w:tcPr>
            <w:tcW w:w="1742" w:type="dxa"/>
            <w:tcBorders>
              <w:top w:val="nil"/>
              <w:left w:val="nil"/>
              <w:bottom w:val="single" w:sz="4" w:space="0" w:color="auto"/>
              <w:right w:val="nil"/>
            </w:tcBorders>
            <w:shd w:val="clear" w:color="auto" w:fill="auto"/>
            <w:noWrap/>
            <w:vAlign w:val="center"/>
            <w:hideMark/>
          </w:tcPr>
          <w:p w14:paraId="11BD354C" w14:textId="77777777" w:rsidR="00847F65" w:rsidRPr="00090E3A" w:rsidRDefault="00847F65" w:rsidP="00090E3A">
            <w:pPr>
              <w:jc w:val="center"/>
              <w:rPr>
                <w:i/>
                <w:color w:val="000000"/>
                <w:sz w:val="20"/>
                <w:szCs w:val="20"/>
              </w:rPr>
            </w:pPr>
            <w:r w:rsidRPr="00090E3A">
              <w:rPr>
                <w:i/>
                <w:color w:val="000000"/>
                <w:sz w:val="20"/>
                <w:szCs w:val="20"/>
              </w:rPr>
              <w:t>790%</w:t>
            </w:r>
          </w:p>
        </w:tc>
        <w:tc>
          <w:tcPr>
            <w:tcW w:w="1415" w:type="dxa"/>
            <w:tcBorders>
              <w:top w:val="nil"/>
              <w:left w:val="nil"/>
              <w:bottom w:val="single" w:sz="4" w:space="0" w:color="auto"/>
              <w:right w:val="nil"/>
            </w:tcBorders>
            <w:shd w:val="clear" w:color="auto" w:fill="auto"/>
            <w:noWrap/>
            <w:vAlign w:val="center"/>
            <w:hideMark/>
          </w:tcPr>
          <w:p w14:paraId="22B26CB1" w14:textId="77777777" w:rsidR="00847F65" w:rsidRPr="00090E3A" w:rsidRDefault="00847F65" w:rsidP="00090E3A">
            <w:pPr>
              <w:jc w:val="center"/>
              <w:rPr>
                <w:i/>
                <w:color w:val="000000"/>
                <w:sz w:val="20"/>
                <w:szCs w:val="20"/>
              </w:rPr>
            </w:pPr>
            <w:r w:rsidRPr="00090E3A">
              <w:rPr>
                <w:i/>
                <w:color w:val="000000"/>
                <w:sz w:val="20"/>
                <w:szCs w:val="20"/>
              </w:rPr>
              <w:t>692%</w:t>
            </w:r>
          </w:p>
        </w:tc>
        <w:tc>
          <w:tcPr>
            <w:tcW w:w="1742" w:type="dxa"/>
            <w:tcBorders>
              <w:top w:val="nil"/>
              <w:left w:val="single" w:sz="4" w:space="0" w:color="auto"/>
              <w:bottom w:val="single" w:sz="4" w:space="0" w:color="auto"/>
              <w:right w:val="nil"/>
            </w:tcBorders>
            <w:shd w:val="clear" w:color="auto" w:fill="auto"/>
            <w:noWrap/>
            <w:vAlign w:val="center"/>
            <w:hideMark/>
          </w:tcPr>
          <w:p w14:paraId="3200921A" w14:textId="77777777" w:rsidR="00847F65" w:rsidRPr="00090E3A" w:rsidRDefault="00847F65" w:rsidP="00090E3A">
            <w:pPr>
              <w:jc w:val="center"/>
              <w:rPr>
                <w:i/>
                <w:color w:val="000000"/>
                <w:sz w:val="20"/>
                <w:szCs w:val="20"/>
              </w:rPr>
            </w:pPr>
            <w:r w:rsidRPr="00090E3A">
              <w:rPr>
                <w:i/>
                <w:color w:val="000000"/>
                <w:sz w:val="20"/>
                <w:szCs w:val="20"/>
              </w:rPr>
              <w:t>915%</w:t>
            </w:r>
          </w:p>
        </w:tc>
        <w:tc>
          <w:tcPr>
            <w:tcW w:w="1407" w:type="dxa"/>
            <w:tcBorders>
              <w:top w:val="nil"/>
              <w:left w:val="nil"/>
              <w:bottom w:val="single" w:sz="4" w:space="0" w:color="auto"/>
              <w:right w:val="nil"/>
            </w:tcBorders>
            <w:shd w:val="clear" w:color="auto" w:fill="auto"/>
            <w:noWrap/>
            <w:vAlign w:val="center"/>
            <w:hideMark/>
          </w:tcPr>
          <w:p w14:paraId="5AF1B414" w14:textId="77777777" w:rsidR="00847F65" w:rsidRPr="00090E3A" w:rsidRDefault="00847F65" w:rsidP="00090E3A">
            <w:pPr>
              <w:jc w:val="center"/>
              <w:rPr>
                <w:i/>
                <w:color w:val="000000"/>
                <w:sz w:val="20"/>
                <w:szCs w:val="20"/>
              </w:rPr>
            </w:pPr>
            <w:r w:rsidRPr="00090E3A">
              <w:rPr>
                <w:i/>
                <w:color w:val="000000"/>
                <w:sz w:val="20"/>
                <w:szCs w:val="20"/>
              </w:rPr>
              <w:t>731%</w:t>
            </w:r>
          </w:p>
        </w:tc>
      </w:tr>
      <w:tr w:rsidR="00847F65" w:rsidRPr="00847F65" w14:paraId="0B42A1CB" w14:textId="77777777" w:rsidTr="00847F65">
        <w:trPr>
          <w:trHeight w:val="300"/>
        </w:trPr>
        <w:tc>
          <w:tcPr>
            <w:tcW w:w="2142" w:type="dxa"/>
            <w:tcBorders>
              <w:top w:val="nil"/>
              <w:left w:val="nil"/>
              <w:bottom w:val="nil"/>
              <w:right w:val="nil"/>
            </w:tcBorders>
            <w:shd w:val="clear" w:color="auto" w:fill="auto"/>
            <w:noWrap/>
            <w:vAlign w:val="bottom"/>
          </w:tcPr>
          <w:p w14:paraId="71E66D21" w14:textId="77777777" w:rsidR="00847F65" w:rsidRPr="00847F65" w:rsidRDefault="00847F65" w:rsidP="00847F65">
            <w:pPr>
              <w:rPr>
                <w:color w:val="000000"/>
                <w:sz w:val="20"/>
                <w:szCs w:val="20"/>
              </w:rPr>
            </w:pPr>
          </w:p>
        </w:tc>
        <w:tc>
          <w:tcPr>
            <w:tcW w:w="1742" w:type="dxa"/>
            <w:tcBorders>
              <w:top w:val="nil"/>
              <w:left w:val="nil"/>
              <w:bottom w:val="nil"/>
              <w:right w:val="nil"/>
            </w:tcBorders>
            <w:shd w:val="clear" w:color="auto" w:fill="auto"/>
            <w:noWrap/>
            <w:vAlign w:val="bottom"/>
          </w:tcPr>
          <w:p w14:paraId="2FF588A5" w14:textId="77777777" w:rsidR="00847F65" w:rsidRPr="00847F65" w:rsidRDefault="00847F65" w:rsidP="00847F65">
            <w:pPr>
              <w:jc w:val="center"/>
              <w:rPr>
                <w:color w:val="000000"/>
                <w:sz w:val="20"/>
                <w:szCs w:val="20"/>
              </w:rPr>
            </w:pPr>
          </w:p>
        </w:tc>
        <w:tc>
          <w:tcPr>
            <w:tcW w:w="1742" w:type="dxa"/>
            <w:tcBorders>
              <w:top w:val="nil"/>
              <w:left w:val="nil"/>
              <w:bottom w:val="nil"/>
              <w:right w:val="nil"/>
            </w:tcBorders>
            <w:shd w:val="clear" w:color="auto" w:fill="auto"/>
            <w:noWrap/>
            <w:vAlign w:val="bottom"/>
          </w:tcPr>
          <w:p w14:paraId="7987ECF1" w14:textId="77777777" w:rsidR="00847F65" w:rsidRPr="00847F65" w:rsidRDefault="00847F65" w:rsidP="00847F65">
            <w:pPr>
              <w:jc w:val="center"/>
              <w:rPr>
                <w:color w:val="000000"/>
                <w:sz w:val="20"/>
                <w:szCs w:val="20"/>
              </w:rPr>
            </w:pPr>
          </w:p>
        </w:tc>
        <w:tc>
          <w:tcPr>
            <w:tcW w:w="1415" w:type="dxa"/>
            <w:tcBorders>
              <w:top w:val="nil"/>
              <w:left w:val="nil"/>
              <w:bottom w:val="nil"/>
            </w:tcBorders>
            <w:shd w:val="clear" w:color="auto" w:fill="auto"/>
            <w:noWrap/>
            <w:vAlign w:val="bottom"/>
          </w:tcPr>
          <w:p w14:paraId="6E99D2EF" w14:textId="77777777" w:rsidR="00847F65" w:rsidRPr="00847F65" w:rsidRDefault="00847F65" w:rsidP="00847F65">
            <w:pPr>
              <w:jc w:val="center"/>
              <w:rPr>
                <w:color w:val="000000"/>
                <w:sz w:val="20"/>
                <w:szCs w:val="20"/>
              </w:rPr>
            </w:pPr>
          </w:p>
        </w:tc>
        <w:tc>
          <w:tcPr>
            <w:tcW w:w="1742" w:type="dxa"/>
            <w:tcBorders>
              <w:top w:val="nil"/>
              <w:left w:val="nil"/>
              <w:bottom w:val="nil"/>
              <w:right w:val="nil"/>
            </w:tcBorders>
            <w:shd w:val="clear" w:color="auto" w:fill="auto"/>
            <w:noWrap/>
            <w:vAlign w:val="bottom"/>
          </w:tcPr>
          <w:p w14:paraId="1E3DFE8E" w14:textId="77777777" w:rsidR="00847F65" w:rsidRPr="00847F65" w:rsidRDefault="00847F65" w:rsidP="00847F65">
            <w:pPr>
              <w:jc w:val="center"/>
              <w:rPr>
                <w:color w:val="000000"/>
                <w:sz w:val="20"/>
                <w:szCs w:val="20"/>
              </w:rPr>
            </w:pPr>
          </w:p>
        </w:tc>
        <w:tc>
          <w:tcPr>
            <w:tcW w:w="1407" w:type="dxa"/>
            <w:tcBorders>
              <w:top w:val="nil"/>
              <w:left w:val="nil"/>
              <w:bottom w:val="nil"/>
              <w:right w:val="nil"/>
            </w:tcBorders>
            <w:shd w:val="clear" w:color="auto" w:fill="auto"/>
            <w:noWrap/>
            <w:vAlign w:val="bottom"/>
          </w:tcPr>
          <w:p w14:paraId="4B5B5E6F" w14:textId="77777777" w:rsidR="00847F65" w:rsidRPr="00847F65" w:rsidRDefault="00847F65" w:rsidP="00847F65">
            <w:pPr>
              <w:jc w:val="center"/>
              <w:rPr>
                <w:color w:val="000000"/>
                <w:sz w:val="20"/>
                <w:szCs w:val="20"/>
              </w:rPr>
            </w:pPr>
          </w:p>
        </w:tc>
      </w:tr>
    </w:tbl>
    <w:p w14:paraId="16459794" w14:textId="77777777" w:rsidR="00090E3A" w:rsidRDefault="00090E3A"/>
    <w:p w14:paraId="06D4D067" w14:textId="77777777" w:rsidR="00090E3A" w:rsidRDefault="00090E3A"/>
    <w:p w14:paraId="2D4BA568" w14:textId="77777777" w:rsidR="00090E3A" w:rsidRDefault="00090E3A"/>
    <w:p w14:paraId="4A156424" w14:textId="77777777" w:rsidR="00090E3A" w:rsidRDefault="00090E3A"/>
    <w:tbl>
      <w:tblPr>
        <w:tblW w:w="10190" w:type="dxa"/>
        <w:tblInd w:w="93" w:type="dxa"/>
        <w:tblLayout w:type="fixed"/>
        <w:tblLook w:val="04A0" w:firstRow="1" w:lastRow="0" w:firstColumn="1" w:lastColumn="0" w:noHBand="0" w:noVBand="1"/>
      </w:tblPr>
      <w:tblGrid>
        <w:gridCol w:w="2142"/>
        <w:gridCol w:w="1742"/>
        <w:gridCol w:w="1742"/>
        <w:gridCol w:w="1415"/>
        <w:gridCol w:w="1742"/>
        <w:gridCol w:w="1407"/>
      </w:tblGrid>
      <w:tr w:rsidR="00847F65" w:rsidRPr="00847F65" w14:paraId="14E2EAD6" w14:textId="77777777" w:rsidTr="00090E3A">
        <w:trPr>
          <w:trHeight w:val="300"/>
        </w:trPr>
        <w:tc>
          <w:tcPr>
            <w:tcW w:w="2142" w:type="dxa"/>
            <w:tcBorders>
              <w:top w:val="single" w:sz="4" w:space="0" w:color="auto"/>
              <w:left w:val="nil"/>
              <w:bottom w:val="nil"/>
              <w:right w:val="nil"/>
            </w:tcBorders>
            <w:shd w:val="clear" w:color="auto" w:fill="auto"/>
            <w:noWrap/>
            <w:vAlign w:val="center"/>
            <w:hideMark/>
          </w:tcPr>
          <w:p w14:paraId="31AF9F5B" w14:textId="691EC932" w:rsidR="00847F65" w:rsidRPr="00847F65" w:rsidRDefault="001521FE" w:rsidP="00090E3A">
            <w:pPr>
              <w:jc w:val="center"/>
              <w:rPr>
                <w:color w:val="000000"/>
                <w:sz w:val="20"/>
                <w:szCs w:val="20"/>
              </w:rPr>
            </w:pPr>
            <w:r>
              <w:rPr>
                <w:noProof/>
                <w:color w:val="000000"/>
                <w:sz w:val="20"/>
                <w:szCs w:val="20"/>
              </w:rPr>
              <mc:AlternateContent>
                <mc:Choice Requires="wps">
                  <w:drawing>
                    <wp:anchor distT="0" distB="0" distL="114300" distR="114300" simplePos="0" relativeHeight="251660288" behindDoc="0" locked="0" layoutInCell="1" allowOverlap="1" wp14:anchorId="37F1CF5C" wp14:editId="701B79DB">
                      <wp:simplePos x="0" y="0"/>
                      <wp:positionH relativeFrom="column">
                        <wp:posOffset>-512445</wp:posOffset>
                      </wp:positionH>
                      <wp:positionV relativeFrom="paragraph">
                        <wp:posOffset>110490</wp:posOffset>
                      </wp:positionV>
                      <wp:extent cx="385445" cy="320040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445" cy="32004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6594394E" w14:textId="77777777" w:rsidR="00847F65" w:rsidRPr="00F44603" w:rsidRDefault="00847F65" w:rsidP="00847F65">
                                  <w:pPr>
                                    <w:jc w:val="center"/>
                                    <w:rPr>
                                      <w:sz w:val="32"/>
                                    </w:rPr>
                                  </w:pPr>
                                  <w:r>
                                    <w:rPr>
                                      <w:sz w:val="28"/>
                                    </w:rPr>
                                    <w:t>Panel B: Port</w:t>
                                  </w:r>
                                  <w:r w:rsidRPr="00F44603">
                                    <w:rPr>
                                      <w:sz w:val="28"/>
                                    </w:rPr>
                                    <w:t xml:space="preserve"> Containerization</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27" type="#_x0000_t202" style="position:absolute;left:0;text-align:left;margin-left:-40.3pt;margin-top:8.7pt;width:30.35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" filled="f" stroked="f">
                      <v:path arrowok="t"/>
                      <v:textbox style="layout-flow:vertical;mso-layout-flow-alt:bottom-to-top">
                        <w:txbxContent>
                          <w:p w14:paraId="6594394E" w14:textId="77777777" w:rsidR="00847F65" w:rsidRPr="00F44603" w:rsidRDefault="00847F65" w:rsidP="00847F65">
                            <w:pPr>
                              <w:jc w:val="center"/>
                              <w:rPr>
                                <w:sz w:val="32"/>
                              </w:rPr>
                            </w:pPr>
                            <w:r>
                              <w:rPr>
                                <w:sz w:val="28"/>
                              </w:rPr>
                              <w:t>Panel B: Port</w:t>
                            </w:r>
                            <w:r w:rsidRPr="00F44603">
                              <w:rPr>
                                <w:sz w:val="28"/>
                              </w:rPr>
                              <w:t xml:space="preserve"> Containerization</w:t>
                            </w:r>
                          </w:p>
                        </w:txbxContent>
                      </v:textbox>
                    </v:shape>
                  </w:pict>
                </mc:Fallback>
              </mc:AlternateContent>
            </w:r>
            <m:oMath>
              <m:r>
                <w:rPr>
                  <w:rFonts w:ascii="Cambria Math" w:hAnsi="Cambria Math"/>
                  <w:color w:val="000000"/>
                  <w:sz w:val="20"/>
                  <w:szCs w:val="20"/>
                </w:rPr>
                <m:t xml:space="preserve">∆ </m:t>
              </m:r>
              <m:sSub>
                <m:sSubPr>
                  <m:ctrlPr>
                    <w:rPr>
                      <w:rFonts w:ascii="Cambria Math" w:hAnsi="Cambria Math"/>
                      <w:i/>
                      <w:color w:val="000000"/>
                      <w:sz w:val="20"/>
                      <w:szCs w:val="20"/>
                    </w:rPr>
                  </m:ctrlPr>
                </m:sSubPr>
                <m:e>
                  <m:r>
                    <w:rPr>
                      <w:rFonts w:ascii="Cambria Math" w:hAnsi="Cambria Math"/>
                      <w:color w:val="000000"/>
                      <w:sz w:val="20"/>
                      <w:szCs w:val="20"/>
                    </w:rPr>
                    <m:t>port cont</m:t>
                  </m:r>
                </m:e>
                <m:sub>
                  <m:r>
                    <w:rPr>
                      <w:rFonts w:ascii="Cambria Math" w:hAnsi="Cambria Math"/>
                      <w:color w:val="000000"/>
                      <w:sz w:val="20"/>
                      <w:szCs w:val="20"/>
                    </w:rPr>
                    <m:t>ij,t</m:t>
                  </m:r>
                </m:sub>
              </m:sSub>
            </m:oMath>
          </w:p>
        </w:tc>
        <w:tc>
          <w:tcPr>
            <w:tcW w:w="1742" w:type="dxa"/>
            <w:tcBorders>
              <w:top w:val="single" w:sz="4" w:space="0" w:color="auto"/>
              <w:left w:val="nil"/>
              <w:bottom w:val="nil"/>
              <w:right w:val="nil"/>
            </w:tcBorders>
            <w:shd w:val="clear" w:color="auto" w:fill="auto"/>
            <w:noWrap/>
            <w:vAlign w:val="center"/>
            <w:hideMark/>
          </w:tcPr>
          <w:p w14:paraId="39813D93" w14:textId="77777777" w:rsidR="00847F65" w:rsidRPr="00847F65" w:rsidRDefault="00847F65" w:rsidP="00090E3A">
            <w:pPr>
              <w:jc w:val="center"/>
              <w:rPr>
                <w:color w:val="000000"/>
                <w:sz w:val="20"/>
                <w:szCs w:val="20"/>
              </w:rPr>
            </w:pPr>
            <w:r w:rsidRPr="00847F65">
              <w:rPr>
                <w:color w:val="000000"/>
                <w:sz w:val="20"/>
                <w:szCs w:val="20"/>
              </w:rPr>
              <w:t>0.620***</w:t>
            </w:r>
          </w:p>
        </w:tc>
        <w:tc>
          <w:tcPr>
            <w:tcW w:w="1742" w:type="dxa"/>
            <w:tcBorders>
              <w:top w:val="single" w:sz="4" w:space="0" w:color="auto"/>
              <w:left w:val="nil"/>
              <w:bottom w:val="nil"/>
              <w:right w:val="nil"/>
            </w:tcBorders>
            <w:shd w:val="clear" w:color="auto" w:fill="auto"/>
            <w:noWrap/>
            <w:vAlign w:val="center"/>
            <w:hideMark/>
          </w:tcPr>
          <w:p w14:paraId="2E24103D" w14:textId="77777777" w:rsidR="00847F65" w:rsidRPr="00847F65" w:rsidRDefault="00847F65" w:rsidP="00090E3A">
            <w:pPr>
              <w:jc w:val="center"/>
              <w:rPr>
                <w:color w:val="000000"/>
                <w:sz w:val="20"/>
                <w:szCs w:val="20"/>
              </w:rPr>
            </w:pPr>
            <w:r w:rsidRPr="00847F65">
              <w:rPr>
                <w:color w:val="000000"/>
                <w:sz w:val="20"/>
                <w:szCs w:val="20"/>
              </w:rPr>
              <w:t>0.711***</w:t>
            </w:r>
          </w:p>
        </w:tc>
        <w:tc>
          <w:tcPr>
            <w:tcW w:w="1415" w:type="dxa"/>
            <w:tcBorders>
              <w:top w:val="single" w:sz="4" w:space="0" w:color="auto"/>
              <w:left w:val="nil"/>
              <w:bottom w:val="nil"/>
              <w:right w:val="nil"/>
            </w:tcBorders>
            <w:shd w:val="clear" w:color="auto" w:fill="auto"/>
            <w:noWrap/>
            <w:vAlign w:val="center"/>
            <w:hideMark/>
          </w:tcPr>
          <w:p w14:paraId="388FB3DA" w14:textId="77777777" w:rsidR="00847F65" w:rsidRPr="00847F65" w:rsidRDefault="00847F65" w:rsidP="00090E3A">
            <w:pPr>
              <w:jc w:val="center"/>
              <w:rPr>
                <w:color w:val="000000"/>
                <w:sz w:val="20"/>
                <w:szCs w:val="20"/>
              </w:rPr>
            </w:pPr>
            <w:r w:rsidRPr="00847F65">
              <w:rPr>
                <w:color w:val="000000"/>
                <w:sz w:val="20"/>
                <w:szCs w:val="20"/>
              </w:rPr>
              <w:t>0.647***</w:t>
            </w:r>
          </w:p>
        </w:tc>
        <w:tc>
          <w:tcPr>
            <w:tcW w:w="1742" w:type="dxa"/>
            <w:tcBorders>
              <w:top w:val="single" w:sz="4" w:space="0" w:color="auto"/>
              <w:left w:val="single" w:sz="4" w:space="0" w:color="auto"/>
              <w:bottom w:val="nil"/>
              <w:right w:val="nil"/>
            </w:tcBorders>
            <w:shd w:val="clear" w:color="auto" w:fill="auto"/>
            <w:noWrap/>
            <w:vAlign w:val="center"/>
            <w:hideMark/>
          </w:tcPr>
          <w:p w14:paraId="7BF374CE" w14:textId="77777777" w:rsidR="00847F65" w:rsidRPr="00847F65" w:rsidRDefault="00847F65" w:rsidP="00090E3A">
            <w:pPr>
              <w:jc w:val="center"/>
              <w:rPr>
                <w:color w:val="000000"/>
                <w:sz w:val="20"/>
                <w:szCs w:val="20"/>
              </w:rPr>
            </w:pPr>
            <w:r w:rsidRPr="00847F65">
              <w:rPr>
                <w:color w:val="000000"/>
                <w:sz w:val="20"/>
                <w:szCs w:val="20"/>
              </w:rPr>
              <w:t>0.767***</w:t>
            </w:r>
          </w:p>
        </w:tc>
        <w:tc>
          <w:tcPr>
            <w:tcW w:w="1407" w:type="dxa"/>
            <w:tcBorders>
              <w:top w:val="single" w:sz="4" w:space="0" w:color="auto"/>
              <w:left w:val="nil"/>
              <w:bottom w:val="nil"/>
              <w:right w:val="nil"/>
            </w:tcBorders>
            <w:shd w:val="clear" w:color="auto" w:fill="auto"/>
            <w:noWrap/>
            <w:vAlign w:val="center"/>
            <w:hideMark/>
          </w:tcPr>
          <w:p w14:paraId="45D4EF08" w14:textId="77777777" w:rsidR="00847F65" w:rsidRPr="00847F65" w:rsidRDefault="00847F65" w:rsidP="00090E3A">
            <w:pPr>
              <w:jc w:val="center"/>
              <w:rPr>
                <w:color w:val="000000"/>
                <w:sz w:val="20"/>
                <w:szCs w:val="20"/>
              </w:rPr>
            </w:pPr>
            <w:r w:rsidRPr="00847F65">
              <w:rPr>
                <w:color w:val="000000"/>
                <w:sz w:val="20"/>
                <w:szCs w:val="20"/>
              </w:rPr>
              <w:t>0.696***</w:t>
            </w:r>
          </w:p>
        </w:tc>
      </w:tr>
      <w:tr w:rsidR="00847F65" w:rsidRPr="00847F65" w14:paraId="6F2871B1" w14:textId="77777777" w:rsidTr="00090E3A">
        <w:trPr>
          <w:trHeight w:val="300"/>
        </w:trPr>
        <w:tc>
          <w:tcPr>
            <w:tcW w:w="2142" w:type="dxa"/>
            <w:tcBorders>
              <w:top w:val="nil"/>
              <w:left w:val="nil"/>
              <w:bottom w:val="nil"/>
              <w:right w:val="nil"/>
            </w:tcBorders>
            <w:shd w:val="clear" w:color="auto" w:fill="auto"/>
            <w:noWrap/>
            <w:vAlign w:val="center"/>
            <w:hideMark/>
          </w:tcPr>
          <w:p w14:paraId="6057E0EB" w14:textId="77777777" w:rsidR="00847F65" w:rsidRPr="00847F65" w:rsidRDefault="00847F65" w:rsidP="00090E3A">
            <w:pPr>
              <w:jc w:val="center"/>
              <w:rPr>
                <w:color w:val="000000"/>
                <w:sz w:val="20"/>
                <w:szCs w:val="20"/>
              </w:rPr>
            </w:pPr>
          </w:p>
        </w:tc>
        <w:tc>
          <w:tcPr>
            <w:tcW w:w="1742" w:type="dxa"/>
            <w:tcBorders>
              <w:top w:val="nil"/>
              <w:left w:val="nil"/>
              <w:bottom w:val="nil"/>
              <w:right w:val="nil"/>
            </w:tcBorders>
            <w:shd w:val="clear" w:color="auto" w:fill="auto"/>
            <w:noWrap/>
            <w:vAlign w:val="center"/>
            <w:hideMark/>
          </w:tcPr>
          <w:p w14:paraId="265C74A9" w14:textId="77777777" w:rsidR="00847F65" w:rsidRPr="00847F65" w:rsidRDefault="00847F65" w:rsidP="00090E3A">
            <w:pPr>
              <w:jc w:val="center"/>
              <w:rPr>
                <w:color w:val="000000"/>
                <w:sz w:val="20"/>
                <w:szCs w:val="20"/>
              </w:rPr>
            </w:pPr>
            <w:r w:rsidRPr="00847F65">
              <w:rPr>
                <w:color w:val="000000"/>
                <w:sz w:val="20"/>
                <w:szCs w:val="20"/>
              </w:rPr>
              <w:t>(0.0562)</w:t>
            </w:r>
          </w:p>
        </w:tc>
        <w:tc>
          <w:tcPr>
            <w:tcW w:w="1742" w:type="dxa"/>
            <w:tcBorders>
              <w:top w:val="nil"/>
              <w:left w:val="nil"/>
              <w:bottom w:val="nil"/>
              <w:right w:val="nil"/>
            </w:tcBorders>
            <w:shd w:val="clear" w:color="auto" w:fill="auto"/>
            <w:noWrap/>
            <w:vAlign w:val="center"/>
            <w:hideMark/>
          </w:tcPr>
          <w:p w14:paraId="43F43057" w14:textId="77777777" w:rsidR="00847F65" w:rsidRPr="00847F65" w:rsidRDefault="00847F65" w:rsidP="00090E3A">
            <w:pPr>
              <w:jc w:val="center"/>
              <w:rPr>
                <w:color w:val="000000"/>
                <w:sz w:val="20"/>
                <w:szCs w:val="20"/>
              </w:rPr>
            </w:pPr>
            <w:r w:rsidRPr="00847F65">
              <w:rPr>
                <w:color w:val="000000"/>
                <w:sz w:val="20"/>
                <w:szCs w:val="20"/>
              </w:rPr>
              <w:t>(0.0604)</w:t>
            </w:r>
          </w:p>
        </w:tc>
        <w:tc>
          <w:tcPr>
            <w:tcW w:w="1415" w:type="dxa"/>
            <w:tcBorders>
              <w:top w:val="nil"/>
              <w:left w:val="nil"/>
              <w:bottom w:val="nil"/>
              <w:right w:val="nil"/>
            </w:tcBorders>
            <w:shd w:val="clear" w:color="auto" w:fill="auto"/>
            <w:noWrap/>
            <w:vAlign w:val="center"/>
            <w:hideMark/>
          </w:tcPr>
          <w:p w14:paraId="09EF553F" w14:textId="77777777" w:rsidR="00847F65" w:rsidRPr="00847F65" w:rsidRDefault="00847F65" w:rsidP="00090E3A">
            <w:pPr>
              <w:jc w:val="center"/>
              <w:rPr>
                <w:color w:val="000000"/>
                <w:sz w:val="20"/>
                <w:szCs w:val="20"/>
              </w:rPr>
            </w:pPr>
            <w:r w:rsidRPr="00847F65">
              <w:rPr>
                <w:color w:val="000000"/>
                <w:sz w:val="20"/>
                <w:szCs w:val="20"/>
              </w:rPr>
              <w:t>(0.0555)</w:t>
            </w:r>
          </w:p>
        </w:tc>
        <w:tc>
          <w:tcPr>
            <w:tcW w:w="1742" w:type="dxa"/>
            <w:tcBorders>
              <w:top w:val="nil"/>
              <w:left w:val="single" w:sz="4" w:space="0" w:color="auto"/>
              <w:bottom w:val="nil"/>
              <w:right w:val="nil"/>
            </w:tcBorders>
            <w:shd w:val="clear" w:color="auto" w:fill="auto"/>
            <w:noWrap/>
            <w:vAlign w:val="center"/>
            <w:hideMark/>
          </w:tcPr>
          <w:p w14:paraId="3DA60AFC" w14:textId="77777777" w:rsidR="00847F65" w:rsidRPr="00847F65" w:rsidRDefault="00847F65" w:rsidP="00090E3A">
            <w:pPr>
              <w:jc w:val="center"/>
              <w:rPr>
                <w:color w:val="000000"/>
                <w:sz w:val="20"/>
                <w:szCs w:val="20"/>
              </w:rPr>
            </w:pPr>
            <w:r w:rsidRPr="00847F65">
              <w:rPr>
                <w:color w:val="000000"/>
                <w:sz w:val="20"/>
                <w:szCs w:val="20"/>
              </w:rPr>
              <w:t>(0.0653)</w:t>
            </w:r>
          </w:p>
        </w:tc>
        <w:tc>
          <w:tcPr>
            <w:tcW w:w="1407" w:type="dxa"/>
            <w:tcBorders>
              <w:top w:val="nil"/>
              <w:left w:val="nil"/>
              <w:bottom w:val="nil"/>
              <w:right w:val="nil"/>
            </w:tcBorders>
            <w:shd w:val="clear" w:color="auto" w:fill="auto"/>
            <w:noWrap/>
            <w:vAlign w:val="center"/>
            <w:hideMark/>
          </w:tcPr>
          <w:p w14:paraId="260028C2" w14:textId="77777777" w:rsidR="00847F65" w:rsidRPr="00847F65" w:rsidRDefault="00847F65" w:rsidP="00090E3A">
            <w:pPr>
              <w:jc w:val="center"/>
              <w:rPr>
                <w:color w:val="000000"/>
                <w:sz w:val="20"/>
                <w:szCs w:val="20"/>
              </w:rPr>
            </w:pPr>
            <w:r w:rsidRPr="00847F65">
              <w:rPr>
                <w:color w:val="000000"/>
                <w:sz w:val="20"/>
                <w:szCs w:val="20"/>
              </w:rPr>
              <w:t>(0.0599)</w:t>
            </w:r>
          </w:p>
        </w:tc>
      </w:tr>
      <w:tr w:rsidR="00847F65" w:rsidRPr="00847F65" w14:paraId="218C0CE4" w14:textId="77777777" w:rsidTr="00090E3A">
        <w:trPr>
          <w:trHeight w:val="300"/>
        </w:trPr>
        <w:tc>
          <w:tcPr>
            <w:tcW w:w="2142" w:type="dxa"/>
            <w:tcBorders>
              <w:top w:val="nil"/>
              <w:left w:val="nil"/>
              <w:bottom w:val="nil"/>
              <w:right w:val="nil"/>
            </w:tcBorders>
            <w:shd w:val="clear" w:color="auto" w:fill="auto"/>
            <w:noWrap/>
            <w:vAlign w:val="center"/>
            <w:hideMark/>
          </w:tcPr>
          <w:p w14:paraId="7D9E7D9F" w14:textId="77777777" w:rsidR="00847F65" w:rsidRPr="00847F65" w:rsidRDefault="00847F65" w:rsidP="00090E3A">
            <w:pPr>
              <w:jc w:val="center"/>
              <w:rPr>
                <w:color w:val="000000"/>
                <w:sz w:val="20"/>
                <w:szCs w:val="20"/>
              </w:rPr>
            </w:pPr>
            <m:oMathPara>
              <m:oMathParaPr>
                <m:jc m:val="left"/>
              </m:oMathParaPr>
              <m:oMath>
                <m:r>
                  <w:rPr>
                    <w:rFonts w:ascii="Cambria Math" w:hAnsi="Cambria Math"/>
                    <w:color w:val="000000"/>
                    <w:sz w:val="20"/>
                    <w:szCs w:val="20"/>
                  </w:rPr>
                  <m:t xml:space="preserve">∆ </m:t>
                </m:r>
                <m:sSub>
                  <m:sSubPr>
                    <m:ctrlPr>
                      <w:rPr>
                        <w:rFonts w:ascii="Cambria Math" w:hAnsi="Cambria Math"/>
                        <w:i/>
                        <w:color w:val="000000"/>
                        <w:sz w:val="20"/>
                        <w:szCs w:val="20"/>
                      </w:rPr>
                    </m:ctrlPr>
                  </m:sSubPr>
                  <m:e>
                    <m:r>
                      <w:rPr>
                        <w:rFonts w:ascii="Cambria Math" w:hAnsi="Cambria Math"/>
                        <w:color w:val="000000"/>
                        <w:sz w:val="20"/>
                        <w:szCs w:val="20"/>
                      </w:rPr>
                      <m:t>port cont</m:t>
                    </m:r>
                  </m:e>
                  <m:sub>
                    <m:r>
                      <w:rPr>
                        <w:rFonts w:ascii="Cambria Math" w:hAnsi="Cambria Math"/>
                        <w:color w:val="000000"/>
                        <w:sz w:val="20"/>
                        <w:szCs w:val="20"/>
                      </w:rPr>
                      <m:t>ij,t-1</m:t>
                    </m:r>
                  </m:sub>
                </m:sSub>
              </m:oMath>
            </m:oMathPara>
          </w:p>
        </w:tc>
        <w:tc>
          <w:tcPr>
            <w:tcW w:w="1742" w:type="dxa"/>
            <w:tcBorders>
              <w:top w:val="nil"/>
              <w:left w:val="nil"/>
              <w:bottom w:val="nil"/>
              <w:right w:val="nil"/>
            </w:tcBorders>
            <w:shd w:val="clear" w:color="auto" w:fill="auto"/>
            <w:noWrap/>
            <w:vAlign w:val="center"/>
            <w:hideMark/>
          </w:tcPr>
          <w:p w14:paraId="44463360" w14:textId="77777777" w:rsidR="00847F65" w:rsidRPr="00847F65" w:rsidRDefault="00847F65" w:rsidP="00090E3A">
            <w:pPr>
              <w:jc w:val="center"/>
              <w:rPr>
                <w:color w:val="000000"/>
                <w:sz w:val="20"/>
                <w:szCs w:val="20"/>
              </w:rPr>
            </w:pPr>
            <w:r w:rsidRPr="00847F65">
              <w:rPr>
                <w:color w:val="000000"/>
                <w:sz w:val="20"/>
                <w:szCs w:val="20"/>
              </w:rPr>
              <w:t>0.543***</w:t>
            </w:r>
          </w:p>
        </w:tc>
        <w:tc>
          <w:tcPr>
            <w:tcW w:w="1742" w:type="dxa"/>
            <w:tcBorders>
              <w:top w:val="nil"/>
              <w:left w:val="nil"/>
              <w:bottom w:val="nil"/>
              <w:right w:val="nil"/>
            </w:tcBorders>
            <w:shd w:val="clear" w:color="auto" w:fill="auto"/>
            <w:noWrap/>
            <w:vAlign w:val="center"/>
            <w:hideMark/>
          </w:tcPr>
          <w:p w14:paraId="542DB208" w14:textId="77777777" w:rsidR="00847F65" w:rsidRPr="00847F65" w:rsidRDefault="00847F65" w:rsidP="00090E3A">
            <w:pPr>
              <w:jc w:val="center"/>
              <w:rPr>
                <w:color w:val="000000"/>
                <w:sz w:val="20"/>
                <w:szCs w:val="20"/>
              </w:rPr>
            </w:pPr>
            <w:r w:rsidRPr="00847F65">
              <w:rPr>
                <w:color w:val="000000"/>
                <w:sz w:val="20"/>
                <w:szCs w:val="20"/>
              </w:rPr>
              <w:t>0.578***</w:t>
            </w:r>
          </w:p>
        </w:tc>
        <w:tc>
          <w:tcPr>
            <w:tcW w:w="1415" w:type="dxa"/>
            <w:tcBorders>
              <w:top w:val="nil"/>
              <w:left w:val="nil"/>
              <w:bottom w:val="nil"/>
              <w:right w:val="nil"/>
            </w:tcBorders>
            <w:shd w:val="clear" w:color="auto" w:fill="auto"/>
            <w:noWrap/>
            <w:vAlign w:val="center"/>
            <w:hideMark/>
          </w:tcPr>
          <w:p w14:paraId="7813B3AC" w14:textId="77777777" w:rsidR="00847F65" w:rsidRPr="00847F65" w:rsidRDefault="00847F65" w:rsidP="00090E3A">
            <w:pPr>
              <w:jc w:val="center"/>
              <w:rPr>
                <w:color w:val="000000"/>
                <w:sz w:val="20"/>
                <w:szCs w:val="20"/>
              </w:rPr>
            </w:pPr>
            <w:r w:rsidRPr="00847F65">
              <w:rPr>
                <w:color w:val="000000"/>
                <w:sz w:val="20"/>
                <w:szCs w:val="20"/>
              </w:rPr>
              <w:t>0.581***</w:t>
            </w:r>
          </w:p>
        </w:tc>
        <w:tc>
          <w:tcPr>
            <w:tcW w:w="1742" w:type="dxa"/>
            <w:tcBorders>
              <w:top w:val="nil"/>
              <w:left w:val="single" w:sz="4" w:space="0" w:color="auto"/>
              <w:bottom w:val="nil"/>
              <w:right w:val="nil"/>
            </w:tcBorders>
            <w:shd w:val="clear" w:color="auto" w:fill="auto"/>
            <w:noWrap/>
            <w:vAlign w:val="center"/>
            <w:hideMark/>
          </w:tcPr>
          <w:p w14:paraId="26E0B45D" w14:textId="77777777" w:rsidR="00847F65" w:rsidRPr="00847F65" w:rsidRDefault="00847F65" w:rsidP="00090E3A">
            <w:pPr>
              <w:jc w:val="center"/>
              <w:rPr>
                <w:color w:val="000000"/>
                <w:sz w:val="20"/>
                <w:szCs w:val="20"/>
              </w:rPr>
            </w:pPr>
            <w:r w:rsidRPr="00847F65">
              <w:rPr>
                <w:color w:val="000000"/>
                <w:sz w:val="20"/>
                <w:szCs w:val="20"/>
              </w:rPr>
              <w:t>0.641***</w:t>
            </w:r>
          </w:p>
        </w:tc>
        <w:tc>
          <w:tcPr>
            <w:tcW w:w="1407" w:type="dxa"/>
            <w:tcBorders>
              <w:top w:val="nil"/>
              <w:left w:val="nil"/>
              <w:bottom w:val="nil"/>
              <w:right w:val="nil"/>
            </w:tcBorders>
            <w:shd w:val="clear" w:color="auto" w:fill="auto"/>
            <w:noWrap/>
            <w:vAlign w:val="center"/>
            <w:hideMark/>
          </w:tcPr>
          <w:p w14:paraId="15741666" w14:textId="77777777" w:rsidR="00847F65" w:rsidRPr="00847F65" w:rsidRDefault="00847F65" w:rsidP="00090E3A">
            <w:pPr>
              <w:jc w:val="center"/>
              <w:rPr>
                <w:color w:val="000000"/>
                <w:sz w:val="20"/>
                <w:szCs w:val="20"/>
              </w:rPr>
            </w:pPr>
            <w:r w:rsidRPr="00847F65">
              <w:rPr>
                <w:color w:val="000000"/>
                <w:sz w:val="20"/>
                <w:szCs w:val="20"/>
              </w:rPr>
              <w:t>0.641***</w:t>
            </w:r>
          </w:p>
        </w:tc>
      </w:tr>
      <w:tr w:rsidR="00847F65" w:rsidRPr="00847F65" w14:paraId="2EBC47BA" w14:textId="77777777" w:rsidTr="00090E3A">
        <w:trPr>
          <w:trHeight w:val="300"/>
        </w:trPr>
        <w:tc>
          <w:tcPr>
            <w:tcW w:w="2142" w:type="dxa"/>
            <w:tcBorders>
              <w:top w:val="nil"/>
              <w:left w:val="nil"/>
              <w:bottom w:val="nil"/>
              <w:right w:val="nil"/>
            </w:tcBorders>
            <w:shd w:val="clear" w:color="auto" w:fill="auto"/>
            <w:noWrap/>
            <w:vAlign w:val="center"/>
            <w:hideMark/>
          </w:tcPr>
          <w:p w14:paraId="14D74565" w14:textId="77777777" w:rsidR="00847F65" w:rsidRPr="00847F65" w:rsidRDefault="00847F65" w:rsidP="00090E3A">
            <w:pPr>
              <w:jc w:val="center"/>
              <w:rPr>
                <w:color w:val="000000"/>
                <w:sz w:val="20"/>
                <w:szCs w:val="20"/>
              </w:rPr>
            </w:pPr>
          </w:p>
        </w:tc>
        <w:tc>
          <w:tcPr>
            <w:tcW w:w="1742" w:type="dxa"/>
            <w:tcBorders>
              <w:top w:val="nil"/>
              <w:left w:val="nil"/>
              <w:bottom w:val="nil"/>
              <w:right w:val="nil"/>
            </w:tcBorders>
            <w:shd w:val="clear" w:color="auto" w:fill="auto"/>
            <w:noWrap/>
            <w:vAlign w:val="center"/>
            <w:hideMark/>
          </w:tcPr>
          <w:p w14:paraId="218E00DF" w14:textId="77777777" w:rsidR="00847F65" w:rsidRPr="00847F65" w:rsidRDefault="00847F65" w:rsidP="00090E3A">
            <w:pPr>
              <w:jc w:val="center"/>
              <w:rPr>
                <w:color w:val="000000"/>
                <w:sz w:val="20"/>
                <w:szCs w:val="20"/>
              </w:rPr>
            </w:pPr>
            <w:r w:rsidRPr="00847F65">
              <w:rPr>
                <w:color w:val="000000"/>
                <w:sz w:val="20"/>
                <w:szCs w:val="20"/>
              </w:rPr>
              <w:t>(0.0429)</w:t>
            </w:r>
          </w:p>
        </w:tc>
        <w:tc>
          <w:tcPr>
            <w:tcW w:w="1742" w:type="dxa"/>
            <w:tcBorders>
              <w:top w:val="nil"/>
              <w:left w:val="nil"/>
              <w:bottom w:val="nil"/>
              <w:right w:val="nil"/>
            </w:tcBorders>
            <w:shd w:val="clear" w:color="auto" w:fill="auto"/>
            <w:noWrap/>
            <w:vAlign w:val="center"/>
            <w:hideMark/>
          </w:tcPr>
          <w:p w14:paraId="5FC421EF" w14:textId="77777777" w:rsidR="00847F65" w:rsidRPr="00847F65" w:rsidRDefault="00847F65" w:rsidP="00090E3A">
            <w:pPr>
              <w:jc w:val="center"/>
              <w:rPr>
                <w:color w:val="000000"/>
                <w:sz w:val="20"/>
                <w:szCs w:val="20"/>
              </w:rPr>
            </w:pPr>
            <w:r w:rsidRPr="00847F65">
              <w:rPr>
                <w:color w:val="000000"/>
                <w:sz w:val="20"/>
                <w:szCs w:val="20"/>
              </w:rPr>
              <w:t>(0.0438)</w:t>
            </w:r>
          </w:p>
        </w:tc>
        <w:tc>
          <w:tcPr>
            <w:tcW w:w="1415" w:type="dxa"/>
            <w:tcBorders>
              <w:top w:val="nil"/>
              <w:left w:val="nil"/>
              <w:bottom w:val="nil"/>
              <w:right w:val="nil"/>
            </w:tcBorders>
            <w:shd w:val="clear" w:color="auto" w:fill="auto"/>
            <w:noWrap/>
            <w:vAlign w:val="center"/>
            <w:hideMark/>
          </w:tcPr>
          <w:p w14:paraId="0256AD23" w14:textId="77777777" w:rsidR="00847F65" w:rsidRPr="00847F65" w:rsidRDefault="00847F65" w:rsidP="00090E3A">
            <w:pPr>
              <w:jc w:val="center"/>
              <w:rPr>
                <w:color w:val="000000"/>
                <w:sz w:val="20"/>
                <w:szCs w:val="20"/>
              </w:rPr>
            </w:pPr>
            <w:r w:rsidRPr="00847F65">
              <w:rPr>
                <w:color w:val="000000"/>
                <w:sz w:val="20"/>
                <w:szCs w:val="20"/>
              </w:rPr>
              <w:t>(0.0402)</w:t>
            </w:r>
          </w:p>
        </w:tc>
        <w:tc>
          <w:tcPr>
            <w:tcW w:w="1742" w:type="dxa"/>
            <w:tcBorders>
              <w:top w:val="nil"/>
              <w:left w:val="single" w:sz="4" w:space="0" w:color="auto"/>
              <w:bottom w:val="nil"/>
              <w:right w:val="nil"/>
            </w:tcBorders>
            <w:shd w:val="clear" w:color="auto" w:fill="auto"/>
            <w:noWrap/>
            <w:vAlign w:val="center"/>
            <w:hideMark/>
          </w:tcPr>
          <w:p w14:paraId="523CCCFD" w14:textId="77777777" w:rsidR="00847F65" w:rsidRPr="00847F65" w:rsidRDefault="00847F65" w:rsidP="00090E3A">
            <w:pPr>
              <w:jc w:val="center"/>
              <w:rPr>
                <w:color w:val="000000"/>
                <w:sz w:val="20"/>
                <w:szCs w:val="20"/>
              </w:rPr>
            </w:pPr>
            <w:r w:rsidRPr="00847F65">
              <w:rPr>
                <w:color w:val="000000"/>
                <w:sz w:val="20"/>
                <w:szCs w:val="20"/>
              </w:rPr>
              <w:t>(0.0466)</w:t>
            </w:r>
          </w:p>
        </w:tc>
        <w:tc>
          <w:tcPr>
            <w:tcW w:w="1407" w:type="dxa"/>
            <w:tcBorders>
              <w:top w:val="nil"/>
              <w:left w:val="nil"/>
              <w:bottom w:val="nil"/>
              <w:right w:val="nil"/>
            </w:tcBorders>
            <w:shd w:val="clear" w:color="auto" w:fill="auto"/>
            <w:noWrap/>
            <w:vAlign w:val="center"/>
            <w:hideMark/>
          </w:tcPr>
          <w:p w14:paraId="0190E560" w14:textId="77777777" w:rsidR="00847F65" w:rsidRPr="00847F65" w:rsidRDefault="00847F65" w:rsidP="00090E3A">
            <w:pPr>
              <w:jc w:val="center"/>
              <w:rPr>
                <w:color w:val="000000"/>
                <w:sz w:val="20"/>
                <w:szCs w:val="20"/>
              </w:rPr>
            </w:pPr>
            <w:r w:rsidRPr="00847F65">
              <w:rPr>
                <w:color w:val="000000"/>
                <w:sz w:val="20"/>
                <w:szCs w:val="20"/>
              </w:rPr>
              <w:t>(0.0427)</w:t>
            </w:r>
          </w:p>
        </w:tc>
      </w:tr>
      <w:tr w:rsidR="00847F65" w:rsidRPr="00847F65" w14:paraId="7829817C" w14:textId="77777777" w:rsidTr="00090E3A">
        <w:trPr>
          <w:trHeight w:val="300"/>
        </w:trPr>
        <w:tc>
          <w:tcPr>
            <w:tcW w:w="2142" w:type="dxa"/>
            <w:tcBorders>
              <w:top w:val="nil"/>
              <w:left w:val="nil"/>
              <w:bottom w:val="nil"/>
              <w:right w:val="nil"/>
            </w:tcBorders>
            <w:shd w:val="clear" w:color="auto" w:fill="auto"/>
            <w:noWrap/>
            <w:vAlign w:val="center"/>
            <w:hideMark/>
          </w:tcPr>
          <w:p w14:paraId="081878BA" w14:textId="77777777" w:rsidR="00847F65" w:rsidRPr="00847F65" w:rsidRDefault="00847F65" w:rsidP="00090E3A">
            <w:pPr>
              <w:jc w:val="center"/>
              <w:rPr>
                <w:color w:val="000000"/>
                <w:sz w:val="20"/>
                <w:szCs w:val="20"/>
              </w:rPr>
            </w:pPr>
            <m:oMathPara>
              <m:oMathParaPr>
                <m:jc m:val="left"/>
              </m:oMathParaPr>
              <m:oMath>
                <m:r>
                  <w:rPr>
                    <w:rFonts w:ascii="Cambria Math" w:hAnsi="Cambria Math"/>
                    <w:color w:val="000000"/>
                    <w:sz w:val="20"/>
                    <w:szCs w:val="20"/>
                  </w:rPr>
                  <m:t xml:space="preserve">∆ </m:t>
                </m:r>
                <m:sSub>
                  <m:sSubPr>
                    <m:ctrlPr>
                      <w:rPr>
                        <w:rFonts w:ascii="Cambria Math" w:hAnsi="Cambria Math"/>
                        <w:i/>
                        <w:color w:val="000000"/>
                        <w:sz w:val="20"/>
                        <w:szCs w:val="20"/>
                      </w:rPr>
                    </m:ctrlPr>
                  </m:sSubPr>
                  <m:e>
                    <m:r>
                      <w:rPr>
                        <w:rFonts w:ascii="Cambria Math" w:hAnsi="Cambria Math"/>
                        <w:color w:val="000000"/>
                        <w:sz w:val="20"/>
                        <w:szCs w:val="20"/>
                      </w:rPr>
                      <m:t>port cont</m:t>
                    </m:r>
                  </m:e>
                  <m:sub>
                    <m:r>
                      <w:rPr>
                        <w:rFonts w:ascii="Cambria Math" w:hAnsi="Cambria Math"/>
                        <w:color w:val="000000"/>
                        <w:sz w:val="20"/>
                        <w:szCs w:val="20"/>
                      </w:rPr>
                      <m:t>ij,t-2</m:t>
                    </m:r>
                  </m:sub>
                </m:sSub>
              </m:oMath>
            </m:oMathPara>
          </w:p>
        </w:tc>
        <w:tc>
          <w:tcPr>
            <w:tcW w:w="1742" w:type="dxa"/>
            <w:tcBorders>
              <w:top w:val="nil"/>
              <w:left w:val="nil"/>
              <w:bottom w:val="nil"/>
              <w:right w:val="nil"/>
            </w:tcBorders>
            <w:shd w:val="clear" w:color="auto" w:fill="auto"/>
            <w:noWrap/>
            <w:vAlign w:val="center"/>
            <w:hideMark/>
          </w:tcPr>
          <w:p w14:paraId="2DDC217E" w14:textId="77777777" w:rsidR="00847F65" w:rsidRPr="00847F65" w:rsidRDefault="00847F65" w:rsidP="00090E3A">
            <w:pPr>
              <w:jc w:val="center"/>
              <w:rPr>
                <w:color w:val="000000"/>
                <w:sz w:val="20"/>
                <w:szCs w:val="20"/>
              </w:rPr>
            </w:pPr>
            <w:r w:rsidRPr="00847F65">
              <w:rPr>
                <w:color w:val="000000"/>
                <w:sz w:val="20"/>
                <w:szCs w:val="20"/>
              </w:rPr>
              <w:t>0.617***</w:t>
            </w:r>
          </w:p>
        </w:tc>
        <w:tc>
          <w:tcPr>
            <w:tcW w:w="1742" w:type="dxa"/>
            <w:tcBorders>
              <w:top w:val="nil"/>
              <w:left w:val="nil"/>
              <w:bottom w:val="nil"/>
              <w:right w:val="nil"/>
            </w:tcBorders>
            <w:shd w:val="clear" w:color="auto" w:fill="auto"/>
            <w:noWrap/>
            <w:vAlign w:val="center"/>
            <w:hideMark/>
          </w:tcPr>
          <w:p w14:paraId="70FDBD85" w14:textId="77777777" w:rsidR="00847F65" w:rsidRPr="00847F65" w:rsidRDefault="00847F65" w:rsidP="00090E3A">
            <w:pPr>
              <w:jc w:val="center"/>
              <w:rPr>
                <w:color w:val="000000"/>
                <w:sz w:val="20"/>
                <w:szCs w:val="20"/>
              </w:rPr>
            </w:pPr>
            <w:r w:rsidRPr="00847F65">
              <w:rPr>
                <w:color w:val="000000"/>
                <w:sz w:val="20"/>
                <w:szCs w:val="20"/>
              </w:rPr>
              <w:t>0.629***</w:t>
            </w:r>
          </w:p>
        </w:tc>
        <w:tc>
          <w:tcPr>
            <w:tcW w:w="1415" w:type="dxa"/>
            <w:tcBorders>
              <w:top w:val="nil"/>
              <w:left w:val="nil"/>
              <w:bottom w:val="nil"/>
              <w:right w:val="nil"/>
            </w:tcBorders>
            <w:shd w:val="clear" w:color="auto" w:fill="auto"/>
            <w:noWrap/>
            <w:vAlign w:val="center"/>
            <w:hideMark/>
          </w:tcPr>
          <w:p w14:paraId="515C783C" w14:textId="77777777" w:rsidR="00847F65" w:rsidRPr="00847F65" w:rsidRDefault="00847F65" w:rsidP="00090E3A">
            <w:pPr>
              <w:jc w:val="center"/>
              <w:rPr>
                <w:color w:val="000000"/>
                <w:sz w:val="20"/>
                <w:szCs w:val="20"/>
              </w:rPr>
            </w:pPr>
            <w:r w:rsidRPr="00847F65">
              <w:rPr>
                <w:color w:val="000000"/>
                <w:sz w:val="20"/>
                <w:szCs w:val="20"/>
              </w:rPr>
              <w:t>0.655***</w:t>
            </w:r>
          </w:p>
        </w:tc>
        <w:tc>
          <w:tcPr>
            <w:tcW w:w="1742" w:type="dxa"/>
            <w:tcBorders>
              <w:top w:val="nil"/>
              <w:left w:val="single" w:sz="4" w:space="0" w:color="auto"/>
              <w:bottom w:val="nil"/>
              <w:right w:val="nil"/>
            </w:tcBorders>
            <w:shd w:val="clear" w:color="auto" w:fill="auto"/>
            <w:noWrap/>
            <w:vAlign w:val="center"/>
            <w:hideMark/>
          </w:tcPr>
          <w:p w14:paraId="637D8104" w14:textId="77777777" w:rsidR="00847F65" w:rsidRPr="00847F65" w:rsidRDefault="00847F65" w:rsidP="00090E3A">
            <w:pPr>
              <w:jc w:val="center"/>
              <w:rPr>
                <w:color w:val="000000"/>
                <w:sz w:val="20"/>
                <w:szCs w:val="20"/>
              </w:rPr>
            </w:pPr>
            <w:r w:rsidRPr="00847F65">
              <w:rPr>
                <w:color w:val="000000"/>
                <w:sz w:val="20"/>
                <w:szCs w:val="20"/>
              </w:rPr>
              <w:t>0.673***</w:t>
            </w:r>
          </w:p>
        </w:tc>
        <w:tc>
          <w:tcPr>
            <w:tcW w:w="1407" w:type="dxa"/>
            <w:tcBorders>
              <w:top w:val="nil"/>
              <w:left w:val="nil"/>
              <w:bottom w:val="nil"/>
              <w:right w:val="nil"/>
            </w:tcBorders>
            <w:shd w:val="clear" w:color="auto" w:fill="auto"/>
            <w:noWrap/>
            <w:vAlign w:val="center"/>
            <w:hideMark/>
          </w:tcPr>
          <w:p w14:paraId="60CB73E2" w14:textId="77777777" w:rsidR="00847F65" w:rsidRPr="00847F65" w:rsidRDefault="00847F65" w:rsidP="00090E3A">
            <w:pPr>
              <w:jc w:val="center"/>
              <w:rPr>
                <w:color w:val="000000"/>
                <w:sz w:val="20"/>
                <w:szCs w:val="20"/>
              </w:rPr>
            </w:pPr>
            <w:r w:rsidRPr="00847F65">
              <w:rPr>
                <w:color w:val="000000"/>
                <w:sz w:val="20"/>
                <w:szCs w:val="20"/>
              </w:rPr>
              <w:t>0.695***</w:t>
            </w:r>
          </w:p>
        </w:tc>
      </w:tr>
      <w:tr w:rsidR="00847F65" w:rsidRPr="00847F65" w14:paraId="704698B5" w14:textId="77777777" w:rsidTr="00090E3A">
        <w:trPr>
          <w:trHeight w:val="300"/>
        </w:trPr>
        <w:tc>
          <w:tcPr>
            <w:tcW w:w="2142" w:type="dxa"/>
            <w:tcBorders>
              <w:top w:val="nil"/>
              <w:left w:val="nil"/>
              <w:bottom w:val="nil"/>
              <w:right w:val="nil"/>
            </w:tcBorders>
            <w:shd w:val="clear" w:color="auto" w:fill="auto"/>
            <w:noWrap/>
            <w:vAlign w:val="center"/>
            <w:hideMark/>
          </w:tcPr>
          <w:p w14:paraId="6B5970D3" w14:textId="77777777" w:rsidR="00847F65" w:rsidRPr="00847F65" w:rsidRDefault="00847F65" w:rsidP="00090E3A">
            <w:pPr>
              <w:jc w:val="center"/>
              <w:rPr>
                <w:color w:val="000000"/>
                <w:sz w:val="20"/>
                <w:szCs w:val="20"/>
              </w:rPr>
            </w:pPr>
          </w:p>
        </w:tc>
        <w:tc>
          <w:tcPr>
            <w:tcW w:w="1742" w:type="dxa"/>
            <w:tcBorders>
              <w:top w:val="nil"/>
              <w:left w:val="nil"/>
              <w:bottom w:val="nil"/>
              <w:right w:val="nil"/>
            </w:tcBorders>
            <w:shd w:val="clear" w:color="auto" w:fill="auto"/>
            <w:noWrap/>
            <w:vAlign w:val="center"/>
            <w:hideMark/>
          </w:tcPr>
          <w:p w14:paraId="614A3561" w14:textId="77777777" w:rsidR="00847F65" w:rsidRPr="00847F65" w:rsidRDefault="00847F65" w:rsidP="00090E3A">
            <w:pPr>
              <w:jc w:val="center"/>
              <w:rPr>
                <w:color w:val="000000"/>
                <w:sz w:val="20"/>
                <w:szCs w:val="20"/>
              </w:rPr>
            </w:pPr>
            <w:r w:rsidRPr="00847F65">
              <w:rPr>
                <w:color w:val="000000"/>
                <w:sz w:val="20"/>
                <w:szCs w:val="20"/>
              </w:rPr>
              <w:t>(0.0265)</w:t>
            </w:r>
          </w:p>
        </w:tc>
        <w:tc>
          <w:tcPr>
            <w:tcW w:w="1742" w:type="dxa"/>
            <w:tcBorders>
              <w:top w:val="nil"/>
              <w:left w:val="nil"/>
              <w:bottom w:val="nil"/>
              <w:right w:val="nil"/>
            </w:tcBorders>
            <w:shd w:val="clear" w:color="auto" w:fill="auto"/>
            <w:noWrap/>
            <w:vAlign w:val="center"/>
            <w:hideMark/>
          </w:tcPr>
          <w:p w14:paraId="76EEA546" w14:textId="77777777" w:rsidR="00847F65" w:rsidRPr="00847F65" w:rsidRDefault="00847F65" w:rsidP="00090E3A">
            <w:pPr>
              <w:jc w:val="center"/>
              <w:rPr>
                <w:color w:val="000000"/>
                <w:sz w:val="20"/>
                <w:szCs w:val="20"/>
              </w:rPr>
            </w:pPr>
            <w:r w:rsidRPr="00847F65">
              <w:rPr>
                <w:color w:val="000000"/>
                <w:sz w:val="20"/>
                <w:szCs w:val="20"/>
              </w:rPr>
              <w:t>(0.0267)</w:t>
            </w:r>
          </w:p>
        </w:tc>
        <w:tc>
          <w:tcPr>
            <w:tcW w:w="1415" w:type="dxa"/>
            <w:tcBorders>
              <w:top w:val="nil"/>
              <w:left w:val="nil"/>
              <w:bottom w:val="nil"/>
              <w:right w:val="nil"/>
            </w:tcBorders>
            <w:shd w:val="clear" w:color="auto" w:fill="auto"/>
            <w:noWrap/>
            <w:vAlign w:val="center"/>
            <w:hideMark/>
          </w:tcPr>
          <w:p w14:paraId="3C4762DE" w14:textId="77777777" w:rsidR="00847F65" w:rsidRPr="00847F65" w:rsidRDefault="00847F65" w:rsidP="00090E3A">
            <w:pPr>
              <w:jc w:val="center"/>
              <w:rPr>
                <w:color w:val="000000"/>
                <w:sz w:val="20"/>
                <w:szCs w:val="20"/>
              </w:rPr>
            </w:pPr>
            <w:r w:rsidRPr="00847F65">
              <w:rPr>
                <w:color w:val="000000"/>
                <w:sz w:val="20"/>
                <w:szCs w:val="20"/>
              </w:rPr>
              <w:t>(0.0238)</w:t>
            </w:r>
          </w:p>
        </w:tc>
        <w:tc>
          <w:tcPr>
            <w:tcW w:w="1742" w:type="dxa"/>
            <w:tcBorders>
              <w:top w:val="nil"/>
              <w:left w:val="single" w:sz="4" w:space="0" w:color="auto"/>
              <w:bottom w:val="nil"/>
              <w:right w:val="nil"/>
            </w:tcBorders>
            <w:shd w:val="clear" w:color="auto" w:fill="auto"/>
            <w:noWrap/>
            <w:vAlign w:val="center"/>
            <w:hideMark/>
          </w:tcPr>
          <w:p w14:paraId="19A8C2FB" w14:textId="77777777" w:rsidR="00847F65" w:rsidRPr="00847F65" w:rsidRDefault="00847F65" w:rsidP="00090E3A">
            <w:pPr>
              <w:jc w:val="center"/>
              <w:rPr>
                <w:color w:val="000000"/>
                <w:sz w:val="20"/>
                <w:szCs w:val="20"/>
              </w:rPr>
            </w:pPr>
            <w:r w:rsidRPr="00847F65">
              <w:rPr>
                <w:color w:val="000000"/>
                <w:sz w:val="20"/>
                <w:szCs w:val="20"/>
              </w:rPr>
              <w:t>(0.0273)</w:t>
            </w:r>
          </w:p>
        </w:tc>
        <w:tc>
          <w:tcPr>
            <w:tcW w:w="1407" w:type="dxa"/>
            <w:tcBorders>
              <w:top w:val="nil"/>
              <w:left w:val="nil"/>
              <w:bottom w:val="nil"/>
              <w:right w:val="nil"/>
            </w:tcBorders>
            <w:shd w:val="clear" w:color="auto" w:fill="auto"/>
            <w:noWrap/>
            <w:vAlign w:val="center"/>
            <w:hideMark/>
          </w:tcPr>
          <w:p w14:paraId="7A4CD2F9" w14:textId="77777777" w:rsidR="00847F65" w:rsidRPr="00847F65" w:rsidRDefault="00847F65" w:rsidP="00090E3A">
            <w:pPr>
              <w:jc w:val="center"/>
              <w:rPr>
                <w:color w:val="000000"/>
                <w:sz w:val="20"/>
                <w:szCs w:val="20"/>
              </w:rPr>
            </w:pPr>
            <w:r w:rsidRPr="00847F65">
              <w:rPr>
                <w:color w:val="000000"/>
                <w:sz w:val="20"/>
                <w:szCs w:val="20"/>
              </w:rPr>
              <w:t>(0.0243)</w:t>
            </w:r>
          </w:p>
        </w:tc>
      </w:tr>
      <w:tr w:rsidR="00847F65" w:rsidRPr="00847F65" w14:paraId="62DE3712" w14:textId="77777777" w:rsidTr="00090E3A">
        <w:trPr>
          <w:trHeight w:val="300"/>
        </w:trPr>
        <w:tc>
          <w:tcPr>
            <w:tcW w:w="2142" w:type="dxa"/>
            <w:tcBorders>
              <w:top w:val="nil"/>
              <w:left w:val="nil"/>
              <w:bottom w:val="nil"/>
              <w:right w:val="nil"/>
            </w:tcBorders>
            <w:shd w:val="clear" w:color="auto" w:fill="auto"/>
            <w:noWrap/>
            <w:vAlign w:val="center"/>
            <w:hideMark/>
          </w:tcPr>
          <w:p w14:paraId="5F5D5A81" w14:textId="77777777" w:rsidR="00847F65" w:rsidRPr="00847F65" w:rsidRDefault="00847F65" w:rsidP="00090E3A">
            <w:pPr>
              <w:jc w:val="center"/>
              <w:rPr>
                <w:color w:val="000000"/>
                <w:sz w:val="20"/>
                <w:szCs w:val="20"/>
              </w:rPr>
            </w:pPr>
            <m:oMathPara>
              <m:oMathParaPr>
                <m:jc m:val="left"/>
              </m:oMathParaPr>
              <m:oMath>
                <m:r>
                  <w:rPr>
                    <w:rFonts w:ascii="Cambria Math" w:hAnsi="Cambria Math"/>
                    <w:color w:val="000000"/>
                    <w:sz w:val="20"/>
                    <w:szCs w:val="20"/>
                  </w:rPr>
                  <m:t xml:space="preserve">∆ </m:t>
                </m:r>
                <m:sSub>
                  <m:sSubPr>
                    <m:ctrlPr>
                      <w:rPr>
                        <w:rFonts w:ascii="Cambria Math" w:hAnsi="Cambria Math"/>
                        <w:i/>
                        <w:color w:val="000000"/>
                        <w:sz w:val="20"/>
                        <w:szCs w:val="20"/>
                      </w:rPr>
                    </m:ctrlPr>
                  </m:sSubPr>
                  <m:e>
                    <m:r>
                      <w:rPr>
                        <w:rFonts w:ascii="Cambria Math" w:hAnsi="Cambria Math"/>
                        <w:color w:val="000000"/>
                        <w:sz w:val="20"/>
                        <w:szCs w:val="20"/>
                      </w:rPr>
                      <m:t>port cont</m:t>
                    </m:r>
                  </m:e>
                  <m:sub>
                    <m:r>
                      <w:rPr>
                        <w:rFonts w:ascii="Cambria Math" w:hAnsi="Cambria Math"/>
                        <w:color w:val="000000"/>
                        <w:sz w:val="20"/>
                        <w:szCs w:val="20"/>
                      </w:rPr>
                      <m:t>ij,t-3</m:t>
                    </m:r>
                  </m:sub>
                </m:sSub>
              </m:oMath>
            </m:oMathPara>
          </w:p>
        </w:tc>
        <w:tc>
          <w:tcPr>
            <w:tcW w:w="1742" w:type="dxa"/>
            <w:tcBorders>
              <w:top w:val="nil"/>
              <w:left w:val="nil"/>
              <w:bottom w:val="nil"/>
              <w:right w:val="nil"/>
            </w:tcBorders>
            <w:shd w:val="clear" w:color="auto" w:fill="auto"/>
            <w:noWrap/>
            <w:vAlign w:val="center"/>
            <w:hideMark/>
          </w:tcPr>
          <w:p w14:paraId="1B65DF5B" w14:textId="77777777" w:rsidR="00847F65" w:rsidRPr="00847F65" w:rsidRDefault="00847F65" w:rsidP="00090E3A">
            <w:pPr>
              <w:jc w:val="center"/>
              <w:rPr>
                <w:color w:val="000000"/>
                <w:sz w:val="20"/>
                <w:szCs w:val="20"/>
              </w:rPr>
            </w:pPr>
            <w:r w:rsidRPr="00847F65">
              <w:rPr>
                <w:color w:val="000000"/>
                <w:sz w:val="20"/>
                <w:szCs w:val="20"/>
              </w:rPr>
              <w:t>0.399***</w:t>
            </w:r>
          </w:p>
        </w:tc>
        <w:tc>
          <w:tcPr>
            <w:tcW w:w="1742" w:type="dxa"/>
            <w:tcBorders>
              <w:top w:val="nil"/>
              <w:left w:val="nil"/>
              <w:bottom w:val="nil"/>
              <w:right w:val="nil"/>
            </w:tcBorders>
            <w:shd w:val="clear" w:color="auto" w:fill="auto"/>
            <w:noWrap/>
            <w:vAlign w:val="center"/>
            <w:hideMark/>
          </w:tcPr>
          <w:p w14:paraId="2E366D64" w14:textId="77777777" w:rsidR="00847F65" w:rsidRPr="00847F65" w:rsidRDefault="00847F65" w:rsidP="00090E3A">
            <w:pPr>
              <w:jc w:val="center"/>
              <w:rPr>
                <w:color w:val="000000"/>
                <w:sz w:val="20"/>
                <w:szCs w:val="20"/>
              </w:rPr>
            </w:pPr>
            <w:r w:rsidRPr="00847F65">
              <w:rPr>
                <w:color w:val="000000"/>
                <w:sz w:val="20"/>
                <w:szCs w:val="20"/>
              </w:rPr>
              <w:t>0.402***</w:t>
            </w:r>
          </w:p>
        </w:tc>
        <w:tc>
          <w:tcPr>
            <w:tcW w:w="1415" w:type="dxa"/>
            <w:tcBorders>
              <w:top w:val="nil"/>
              <w:left w:val="nil"/>
              <w:bottom w:val="nil"/>
              <w:right w:val="nil"/>
            </w:tcBorders>
            <w:shd w:val="clear" w:color="auto" w:fill="auto"/>
            <w:noWrap/>
            <w:vAlign w:val="center"/>
            <w:hideMark/>
          </w:tcPr>
          <w:p w14:paraId="790F6C2B" w14:textId="77777777" w:rsidR="00847F65" w:rsidRPr="00847F65" w:rsidRDefault="00847F65" w:rsidP="00090E3A">
            <w:pPr>
              <w:jc w:val="center"/>
              <w:rPr>
                <w:color w:val="000000"/>
                <w:sz w:val="20"/>
                <w:szCs w:val="20"/>
              </w:rPr>
            </w:pPr>
            <w:r w:rsidRPr="00847F65">
              <w:rPr>
                <w:color w:val="000000"/>
                <w:sz w:val="20"/>
                <w:szCs w:val="20"/>
              </w:rPr>
              <w:t>0.394***</w:t>
            </w:r>
          </w:p>
        </w:tc>
        <w:tc>
          <w:tcPr>
            <w:tcW w:w="1742" w:type="dxa"/>
            <w:tcBorders>
              <w:top w:val="nil"/>
              <w:left w:val="single" w:sz="4" w:space="0" w:color="auto"/>
              <w:bottom w:val="nil"/>
              <w:right w:val="nil"/>
            </w:tcBorders>
            <w:shd w:val="clear" w:color="auto" w:fill="auto"/>
            <w:noWrap/>
            <w:vAlign w:val="center"/>
            <w:hideMark/>
          </w:tcPr>
          <w:p w14:paraId="5FB59B77" w14:textId="77777777" w:rsidR="00847F65" w:rsidRPr="00847F65" w:rsidRDefault="00847F65" w:rsidP="00090E3A">
            <w:pPr>
              <w:jc w:val="center"/>
              <w:rPr>
                <w:color w:val="000000"/>
                <w:sz w:val="20"/>
                <w:szCs w:val="20"/>
              </w:rPr>
            </w:pPr>
            <w:r w:rsidRPr="00847F65">
              <w:rPr>
                <w:color w:val="000000"/>
                <w:sz w:val="20"/>
                <w:szCs w:val="20"/>
              </w:rPr>
              <w:t>0.409***</w:t>
            </w:r>
          </w:p>
        </w:tc>
        <w:tc>
          <w:tcPr>
            <w:tcW w:w="1407" w:type="dxa"/>
            <w:tcBorders>
              <w:top w:val="nil"/>
              <w:left w:val="nil"/>
              <w:bottom w:val="nil"/>
              <w:right w:val="nil"/>
            </w:tcBorders>
            <w:shd w:val="clear" w:color="auto" w:fill="auto"/>
            <w:noWrap/>
            <w:vAlign w:val="center"/>
            <w:hideMark/>
          </w:tcPr>
          <w:p w14:paraId="551A0928" w14:textId="77777777" w:rsidR="00847F65" w:rsidRPr="00847F65" w:rsidRDefault="00847F65" w:rsidP="00090E3A">
            <w:pPr>
              <w:jc w:val="center"/>
              <w:rPr>
                <w:color w:val="000000"/>
                <w:sz w:val="20"/>
                <w:szCs w:val="20"/>
              </w:rPr>
            </w:pPr>
            <w:r w:rsidRPr="00847F65">
              <w:rPr>
                <w:color w:val="000000"/>
                <w:sz w:val="20"/>
                <w:szCs w:val="20"/>
              </w:rPr>
              <w:t>0.400***</w:t>
            </w:r>
          </w:p>
        </w:tc>
      </w:tr>
      <w:tr w:rsidR="00847F65" w:rsidRPr="00847F65" w14:paraId="6E3DC612" w14:textId="77777777" w:rsidTr="00090E3A">
        <w:trPr>
          <w:trHeight w:val="300"/>
        </w:trPr>
        <w:tc>
          <w:tcPr>
            <w:tcW w:w="2142" w:type="dxa"/>
            <w:tcBorders>
              <w:top w:val="nil"/>
              <w:left w:val="nil"/>
              <w:bottom w:val="nil"/>
              <w:right w:val="nil"/>
            </w:tcBorders>
            <w:shd w:val="clear" w:color="auto" w:fill="auto"/>
            <w:noWrap/>
            <w:vAlign w:val="center"/>
            <w:hideMark/>
          </w:tcPr>
          <w:p w14:paraId="01F38AD4" w14:textId="77777777" w:rsidR="00847F65" w:rsidRPr="00847F65" w:rsidRDefault="00847F65" w:rsidP="00090E3A">
            <w:pPr>
              <w:jc w:val="center"/>
              <w:rPr>
                <w:color w:val="000000"/>
                <w:sz w:val="20"/>
                <w:szCs w:val="20"/>
              </w:rPr>
            </w:pPr>
          </w:p>
        </w:tc>
        <w:tc>
          <w:tcPr>
            <w:tcW w:w="1742" w:type="dxa"/>
            <w:tcBorders>
              <w:top w:val="nil"/>
              <w:left w:val="nil"/>
              <w:bottom w:val="nil"/>
              <w:right w:val="nil"/>
            </w:tcBorders>
            <w:shd w:val="clear" w:color="auto" w:fill="auto"/>
            <w:noWrap/>
            <w:vAlign w:val="center"/>
            <w:hideMark/>
          </w:tcPr>
          <w:p w14:paraId="77219FF5" w14:textId="77777777" w:rsidR="00847F65" w:rsidRPr="00847F65" w:rsidRDefault="00847F65" w:rsidP="00090E3A">
            <w:pPr>
              <w:jc w:val="center"/>
              <w:rPr>
                <w:color w:val="000000"/>
                <w:sz w:val="20"/>
                <w:szCs w:val="20"/>
              </w:rPr>
            </w:pPr>
            <w:r w:rsidRPr="00847F65">
              <w:rPr>
                <w:color w:val="000000"/>
                <w:sz w:val="20"/>
                <w:szCs w:val="20"/>
              </w:rPr>
              <w:t>(0.0179)</w:t>
            </w:r>
          </w:p>
        </w:tc>
        <w:tc>
          <w:tcPr>
            <w:tcW w:w="1742" w:type="dxa"/>
            <w:tcBorders>
              <w:top w:val="nil"/>
              <w:left w:val="nil"/>
              <w:bottom w:val="nil"/>
              <w:right w:val="nil"/>
            </w:tcBorders>
            <w:shd w:val="clear" w:color="auto" w:fill="auto"/>
            <w:noWrap/>
            <w:vAlign w:val="center"/>
            <w:hideMark/>
          </w:tcPr>
          <w:p w14:paraId="60027C01" w14:textId="77777777" w:rsidR="00847F65" w:rsidRPr="00847F65" w:rsidRDefault="00847F65" w:rsidP="00090E3A">
            <w:pPr>
              <w:jc w:val="center"/>
              <w:rPr>
                <w:color w:val="000000"/>
                <w:sz w:val="20"/>
                <w:szCs w:val="20"/>
              </w:rPr>
            </w:pPr>
            <w:r w:rsidRPr="00847F65">
              <w:rPr>
                <w:color w:val="000000"/>
                <w:sz w:val="20"/>
                <w:szCs w:val="20"/>
              </w:rPr>
              <w:t>(0.0179)</w:t>
            </w:r>
          </w:p>
        </w:tc>
        <w:tc>
          <w:tcPr>
            <w:tcW w:w="1415" w:type="dxa"/>
            <w:tcBorders>
              <w:top w:val="nil"/>
              <w:left w:val="nil"/>
              <w:bottom w:val="nil"/>
              <w:right w:val="nil"/>
            </w:tcBorders>
            <w:shd w:val="clear" w:color="auto" w:fill="auto"/>
            <w:noWrap/>
            <w:vAlign w:val="center"/>
            <w:hideMark/>
          </w:tcPr>
          <w:p w14:paraId="5A5C28D3" w14:textId="77777777" w:rsidR="00847F65" w:rsidRPr="00847F65" w:rsidRDefault="00847F65" w:rsidP="00090E3A">
            <w:pPr>
              <w:jc w:val="center"/>
              <w:rPr>
                <w:color w:val="000000"/>
                <w:sz w:val="20"/>
                <w:szCs w:val="20"/>
              </w:rPr>
            </w:pPr>
            <w:r w:rsidRPr="00847F65">
              <w:rPr>
                <w:color w:val="000000"/>
                <w:sz w:val="20"/>
                <w:szCs w:val="20"/>
              </w:rPr>
              <w:t>(0.016)</w:t>
            </w:r>
          </w:p>
        </w:tc>
        <w:tc>
          <w:tcPr>
            <w:tcW w:w="1742" w:type="dxa"/>
            <w:tcBorders>
              <w:top w:val="nil"/>
              <w:left w:val="single" w:sz="4" w:space="0" w:color="auto"/>
              <w:bottom w:val="nil"/>
              <w:right w:val="nil"/>
            </w:tcBorders>
            <w:shd w:val="clear" w:color="auto" w:fill="auto"/>
            <w:noWrap/>
            <w:vAlign w:val="center"/>
            <w:hideMark/>
          </w:tcPr>
          <w:p w14:paraId="1C97072A" w14:textId="77777777" w:rsidR="00847F65" w:rsidRPr="00847F65" w:rsidRDefault="00847F65" w:rsidP="00090E3A">
            <w:pPr>
              <w:jc w:val="center"/>
              <w:rPr>
                <w:color w:val="000000"/>
                <w:sz w:val="20"/>
                <w:szCs w:val="20"/>
              </w:rPr>
            </w:pPr>
            <w:r w:rsidRPr="00847F65">
              <w:rPr>
                <w:color w:val="000000"/>
                <w:sz w:val="20"/>
                <w:szCs w:val="20"/>
              </w:rPr>
              <w:t>(0.0179)</w:t>
            </w:r>
          </w:p>
        </w:tc>
        <w:tc>
          <w:tcPr>
            <w:tcW w:w="1407" w:type="dxa"/>
            <w:tcBorders>
              <w:top w:val="nil"/>
              <w:left w:val="nil"/>
              <w:bottom w:val="nil"/>
              <w:right w:val="nil"/>
            </w:tcBorders>
            <w:shd w:val="clear" w:color="auto" w:fill="auto"/>
            <w:noWrap/>
            <w:vAlign w:val="center"/>
            <w:hideMark/>
          </w:tcPr>
          <w:p w14:paraId="68FA87EF" w14:textId="77777777" w:rsidR="00847F65" w:rsidRPr="00847F65" w:rsidRDefault="00847F65" w:rsidP="00090E3A">
            <w:pPr>
              <w:jc w:val="center"/>
              <w:rPr>
                <w:color w:val="000000"/>
                <w:sz w:val="20"/>
                <w:szCs w:val="20"/>
              </w:rPr>
            </w:pPr>
            <w:r w:rsidRPr="00847F65">
              <w:rPr>
                <w:color w:val="000000"/>
                <w:sz w:val="20"/>
                <w:szCs w:val="20"/>
              </w:rPr>
              <w:t>(0.016)</w:t>
            </w:r>
          </w:p>
        </w:tc>
      </w:tr>
      <w:tr w:rsidR="00847F65" w:rsidRPr="00847F65" w14:paraId="7DDEBB6A" w14:textId="77777777" w:rsidTr="00090E3A">
        <w:trPr>
          <w:trHeight w:val="300"/>
        </w:trPr>
        <w:tc>
          <w:tcPr>
            <w:tcW w:w="2142" w:type="dxa"/>
            <w:tcBorders>
              <w:top w:val="nil"/>
              <w:left w:val="nil"/>
              <w:bottom w:val="nil"/>
              <w:right w:val="nil"/>
            </w:tcBorders>
            <w:shd w:val="clear" w:color="auto" w:fill="auto"/>
            <w:noWrap/>
            <w:vAlign w:val="center"/>
            <w:hideMark/>
          </w:tcPr>
          <w:p w14:paraId="52E4901B" w14:textId="77777777" w:rsidR="00847F65" w:rsidRPr="00847F65" w:rsidRDefault="00847F65" w:rsidP="00090E3A">
            <w:pPr>
              <w:jc w:val="center"/>
              <w:rPr>
                <w:color w:val="000000"/>
                <w:sz w:val="20"/>
                <w:szCs w:val="20"/>
              </w:rPr>
            </w:pPr>
            <m:oMathPara>
              <m:oMathParaPr>
                <m:jc m:val="left"/>
              </m:oMathParaPr>
              <m:oMath>
                <m:r>
                  <w:rPr>
                    <w:rFonts w:ascii="Cambria Math" w:hAnsi="Cambria Math"/>
                    <w:color w:val="000000"/>
                    <w:sz w:val="20"/>
                    <w:szCs w:val="20"/>
                  </w:rPr>
                  <m:t xml:space="preserve">∆ </m:t>
                </m:r>
                <m:sSub>
                  <m:sSubPr>
                    <m:ctrlPr>
                      <w:rPr>
                        <w:rFonts w:ascii="Cambria Math" w:hAnsi="Cambria Math"/>
                        <w:i/>
                        <w:color w:val="000000"/>
                        <w:sz w:val="20"/>
                        <w:szCs w:val="20"/>
                      </w:rPr>
                    </m:ctrlPr>
                  </m:sSubPr>
                  <m:e>
                    <m:r>
                      <w:rPr>
                        <w:rFonts w:ascii="Cambria Math" w:hAnsi="Cambria Math"/>
                        <w:color w:val="000000"/>
                        <w:sz w:val="20"/>
                        <w:szCs w:val="20"/>
                      </w:rPr>
                      <m:t>port cont</m:t>
                    </m:r>
                  </m:e>
                  <m:sub>
                    <m:r>
                      <w:rPr>
                        <w:rFonts w:ascii="Cambria Math" w:hAnsi="Cambria Math"/>
                        <w:color w:val="000000"/>
                        <w:sz w:val="20"/>
                        <w:szCs w:val="20"/>
                      </w:rPr>
                      <m:t>ij,t+1</m:t>
                    </m:r>
                  </m:sub>
                </m:sSub>
              </m:oMath>
            </m:oMathPara>
          </w:p>
        </w:tc>
        <w:tc>
          <w:tcPr>
            <w:tcW w:w="1742" w:type="dxa"/>
            <w:tcBorders>
              <w:top w:val="nil"/>
              <w:left w:val="nil"/>
              <w:bottom w:val="nil"/>
              <w:right w:val="nil"/>
            </w:tcBorders>
            <w:shd w:val="clear" w:color="auto" w:fill="auto"/>
            <w:noWrap/>
            <w:vAlign w:val="center"/>
            <w:hideMark/>
          </w:tcPr>
          <w:p w14:paraId="2579477C" w14:textId="77777777" w:rsidR="00847F65" w:rsidRPr="00847F65" w:rsidRDefault="00847F65" w:rsidP="00090E3A">
            <w:pPr>
              <w:jc w:val="center"/>
              <w:rPr>
                <w:color w:val="000000"/>
                <w:sz w:val="20"/>
                <w:szCs w:val="20"/>
              </w:rPr>
            </w:pPr>
          </w:p>
        </w:tc>
        <w:tc>
          <w:tcPr>
            <w:tcW w:w="1742" w:type="dxa"/>
            <w:tcBorders>
              <w:top w:val="nil"/>
              <w:left w:val="nil"/>
              <w:bottom w:val="nil"/>
              <w:right w:val="nil"/>
            </w:tcBorders>
            <w:shd w:val="clear" w:color="auto" w:fill="auto"/>
            <w:noWrap/>
            <w:vAlign w:val="center"/>
            <w:hideMark/>
          </w:tcPr>
          <w:p w14:paraId="38B81433" w14:textId="77777777" w:rsidR="00847F65" w:rsidRPr="00847F65" w:rsidRDefault="00847F65" w:rsidP="00090E3A">
            <w:pPr>
              <w:jc w:val="center"/>
              <w:rPr>
                <w:color w:val="000000"/>
                <w:sz w:val="20"/>
                <w:szCs w:val="20"/>
              </w:rPr>
            </w:pPr>
            <w:r w:rsidRPr="00847F65">
              <w:rPr>
                <w:color w:val="000000"/>
                <w:sz w:val="20"/>
                <w:szCs w:val="20"/>
              </w:rPr>
              <w:t>0.217***</w:t>
            </w:r>
          </w:p>
        </w:tc>
        <w:tc>
          <w:tcPr>
            <w:tcW w:w="1415" w:type="dxa"/>
            <w:tcBorders>
              <w:top w:val="nil"/>
              <w:left w:val="nil"/>
              <w:bottom w:val="nil"/>
              <w:right w:val="nil"/>
            </w:tcBorders>
            <w:shd w:val="clear" w:color="auto" w:fill="auto"/>
            <w:noWrap/>
            <w:vAlign w:val="center"/>
            <w:hideMark/>
          </w:tcPr>
          <w:p w14:paraId="08EBAC31" w14:textId="77777777" w:rsidR="00847F65" w:rsidRPr="00847F65" w:rsidRDefault="00847F65" w:rsidP="00090E3A">
            <w:pPr>
              <w:jc w:val="center"/>
              <w:rPr>
                <w:color w:val="000000"/>
                <w:sz w:val="20"/>
                <w:szCs w:val="20"/>
              </w:rPr>
            </w:pPr>
            <w:r w:rsidRPr="00847F65">
              <w:rPr>
                <w:color w:val="000000"/>
                <w:sz w:val="20"/>
                <w:szCs w:val="20"/>
              </w:rPr>
              <w:t>0.169**</w:t>
            </w:r>
          </w:p>
        </w:tc>
        <w:tc>
          <w:tcPr>
            <w:tcW w:w="1742" w:type="dxa"/>
            <w:tcBorders>
              <w:top w:val="nil"/>
              <w:left w:val="single" w:sz="4" w:space="0" w:color="auto"/>
              <w:bottom w:val="nil"/>
              <w:right w:val="nil"/>
            </w:tcBorders>
            <w:shd w:val="clear" w:color="auto" w:fill="auto"/>
            <w:noWrap/>
            <w:vAlign w:val="center"/>
            <w:hideMark/>
          </w:tcPr>
          <w:p w14:paraId="5439881A" w14:textId="77777777" w:rsidR="00847F65" w:rsidRPr="00847F65" w:rsidRDefault="00847F65" w:rsidP="00090E3A">
            <w:pPr>
              <w:jc w:val="center"/>
              <w:rPr>
                <w:color w:val="000000"/>
                <w:sz w:val="20"/>
                <w:szCs w:val="20"/>
              </w:rPr>
            </w:pPr>
            <w:r w:rsidRPr="00847F65">
              <w:rPr>
                <w:color w:val="000000"/>
                <w:sz w:val="20"/>
                <w:szCs w:val="20"/>
              </w:rPr>
              <w:t>0.139***</w:t>
            </w:r>
          </w:p>
        </w:tc>
        <w:tc>
          <w:tcPr>
            <w:tcW w:w="1407" w:type="dxa"/>
            <w:tcBorders>
              <w:top w:val="nil"/>
              <w:left w:val="nil"/>
              <w:bottom w:val="nil"/>
              <w:right w:val="nil"/>
            </w:tcBorders>
            <w:shd w:val="clear" w:color="auto" w:fill="auto"/>
            <w:noWrap/>
            <w:vAlign w:val="center"/>
            <w:hideMark/>
          </w:tcPr>
          <w:p w14:paraId="3E271F0B" w14:textId="77777777" w:rsidR="00847F65" w:rsidRPr="00847F65" w:rsidRDefault="00847F65" w:rsidP="00090E3A">
            <w:pPr>
              <w:jc w:val="center"/>
              <w:rPr>
                <w:color w:val="000000"/>
                <w:sz w:val="20"/>
                <w:szCs w:val="20"/>
              </w:rPr>
            </w:pPr>
            <w:r w:rsidRPr="00847F65">
              <w:rPr>
                <w:color w:val="000000"/>
                <w:sz w:val="20"/>
                <w:szCs w:val="20"/>
              </w:rPr>
              <w:t>0.111</w:t>
            </w:r>
          </w:p>
        </w:tc>
      </w:tr>
      <w:tr w:rsidR="00847F65" w:rsidRPr="00847F65" w14:paraId="5DAC967A" w14:textId="77777777" w:rsidTr="00090E3A">
        <w:trPr>
          <w:trHeight w:val="300"/>
        </w:trPr>
        <w:tc>
          <w:tcPr>
            <w:tcW w:w="2142" w:type="dxa"/>
            <w:tcBorders>
              <w:top w:val="nil"/>
              <w:left w:val="nil"/>
              <w:bottom w:val="nil"/>
              <w:right w:val="nil"/>
            </w:tcBorders>
            <w:shd w:val="clear" w:color="auto" w:fill="auto"/>
            <w:noWrap/>
            <w:vAlign w:val="center"/>
            <w:hideMark/>
          </w:tcPr>
          <w:p w14:paraId="64C8CA37" w14:textId="77777777" w:rsidR="00847F65" w:rsidRPr="00847F65" w:rsidRDefault="00847F65" w:rsidP="00090E3A">
            <w:pPr>
              <w:jc w:val="center"/>
              <w:rPr>
                <w:color w:val="000000"/>
                <w:sz w:val="20"/>
                <w:szCs w:val="20"/>
              </w:rPr>
            </w:pPr>
          </w:p>
        </w:tc>
        <w:tc>
          <w:tcPr>
            <w:tcW w:w="1742" w:type="dxa"/>
            <w:tcBorders>
              <w:top w:val="nil"/>
              <w:left w:val="nil"/>
              <w:bottom w:val="nil"/>
              <w:right w:val="nil"/>
            </w:tcBorders>
            <w:shd w:val="clear" w:color="auto" w:fill="auto"/>
            <w:noWrap/>
            <w:vAlign w:val="center"/>
            <w:hideMark/>
          </w:tcPr>
          <w:p w14:paraId="060291CD" w14:textId="77777777" w:rsidR="00847F65" w:rsidRPr="00847F65" w:rsidRDefault="00847F65" w:rsidP="00090E3A">
            <w:pPr>
              <w:jc w:val="center"/>
              <w:rPr>
                <w:color w:val="000000"/>
                <w:sz w:val="20"/>
                <w:szCs w:val="20"/>
              </w:rPr>
            </w:pPr>
          </w:p>
        </w:tc>
        <w:tc>
          <w:tcPr>
            <w:tcW w:w="1742" w:type="dxa"/>
            <w:tcBorders>
              <w:top w:val="nil"/>
              <w:left w:val="nil"/>
              <w:bottom w:val="nil"/>
              <w:right w:val="nil"/>
            </w:tcBorders>
            <w:shd w:val="clear" w:color="auto" w:fill="auto"/>
            <w:noWrap/>
            <w:vAlign w:val="center"/>
            <w:hideMark/>
          </w:tcPr>
          <w:p w14:paraId="2BA01594" w14:textId="77777777" w:rsidR="00847F65" w:rsidRPr="00847F65" w:rsidRDefault="00847F65" w:rsidP="00090E3A">
            <w:pPr>
              <w:jc w:val="center"/>
              <w:rPr>
                <w:color w:val="000000"/>
                <w:sz w:val="20"/>
                <w:szCs w:val="20"/>
              </w:rPr>
            </w:pPr>
            <w:r w:rsidRPr="00847F65">
              <w:rPr>
                <w:color w:val="000000"/>
                <w:sz w:val="20"/>
                <w:szCs w:val="20"/>
              </w:rPr>
              <w:t>(0.0627)</w:t>
            </w:r>
          </w:p>
        </w:tc>
        <w:tc>
          <w:tcPr>
            <w:tcW w:w="1415" w:type="dxa"/>
            <w:tcBorders>
              <w:top w:val="nil"/>
              <w:left w:val="nil"/>
              <w:bottom w:val="nil"/>
              <w:right w:val="nil"/>
            </w:tcBorders>
            <w:shd w:val="clear" w:color="auto" w:fill="auto"/>
            <w:noWrap/>
            <w:vAlign w:val="center"/>
            <w:hideMark/>
          </w:tcPr>
          <w:p w14:paraId="376899C5" w14:textId="77777777" w:rsidR="00847F65" w:rsidRPr="00847F65" w:rsidRDefault="00847F65" w:rsidP="00090E3A">
            <w:pPr>
              <w:jc w:val="center"/>
              <w:rPr>
                <w:color w:val="000000"/>
                <w:sz w:val="20"/>
                <w:szCs w:val="20"/>
              </w:rPr>
            </w:pPr>
            <w:r w:rsidRPr="00847F65">
              <w:rPr>
                <w:color w:val="000000"/>
                <w:sz w:val="20"/>
                <w:szCs w:val="20"/>
              </w:rPr>
              <w:t>(0.0577)</w:t>
            </w:r>
          </w:p>
        </w:tc>
        <w:tc>
          <w:tcPr>
            <w:tcW w:w="1742" w:type="dxa"/>
            <w:tcBorders>
              <w:top w:val="nil"/>
              <w:left w:val="single" w:sz="4" w:space="0" w:color="auto"/>
              <w:bottom w:val="nil"/>
              <w:right w:val="nil"/>
            </w:tcBorders>
            <w:shd w:val="clear" w:color="auto" w:fill="auto"/>
            <w:noWrap/>
            <w:vAlign w:val="center"/>
            <w:hideMark/>
          </w:tcPr>
          <w:p w14:paraId="42DFED96" w14:textId="77777777" w:rsidR="00847F65" w:rsidRPr="00847F65" w:rsidRDefault="00847F65" w:rsidP="00090E3A">
            <w:pPr>
              <w:jc w:val="center"/>
              <w:rPr>
                <w:color w:val="000000"/>
                <w:sz w:val="20"/>
                <w:szCs w:val="20"/>
              </w:rPr>
            </w:pPr>
            <w:r w:rsidRPr="00847F65">
              <w:rPr>
                <w:color w:val="000000"/>
                <w:sz w:val="20"/>
                <w:szCs w:val="20"/>
              </w:rPr>
              <w:t>(0.0672)</w:t>
            </w:r>
          </w:p>
        </w:tc>
        <w:tc>
          <w:tcPr>
            <w:tcW w:w="1407" w:type="dxa"/>
            <w:tcBorders>
              <w:top w:val="nil"/>
              <w:left w:val="nil"/>
              <w:bottom w:val="nil"/>
              <w:right w:val="nil"/>
            </w:tcBorders>
            <w:shd w:val="clear" w:color="auto" w:fill="auto"/>
            <w:noWrap/>
            <w:vAlign w:val="center"/>
            <w:hideMark/>
          </w:tcPr>
          <w:p w14:paraId="23AA7739" w14:textId="77777777" w:rsidR="00847F65" w:rsidRPr="00847F65" w:rsidRDefault="00847F65" w:rsidP="00090E3A">
            <w:pPr>
              <w:jc w:val="center"/>
              <w:rPr>
                <w:color w:val="000000"/>
                <w:sz w:val="20"/>
                <w:szCs w:val="20"/>
              </w:rPr>
            </w:pPr>
            <w:r w:rsidRPr="00847F65">
              <w:rPr>
                <w:color w:val="000000"/>
                <w:sz w:val="20"/>
                <w:szCs w:val="20"/>
              </w:rPr>
              <w:t>(0.0622)</w:t>
            </w:r>
          </w:p>
        </w:tc>
      </w:tr>
      <w:tr w:rsidR="00090E3A" w:rsidRPr="00847F65" w14:paraId="09390C67" w14:textId="77777777" w:rsidTr="00090E3A">
        <w:trPr>
          <w:trHeight w:val="300"/>
        </w:trPr>
        <w:tc>
          <w:tcPr>
            <w:tcW w:w="2142" w:type="dxa"/>
            <w:tcBorders>
              <w:top w:val="nil"/>
              <w:left w:val="nil"/>
              <w:bottom w:val="nil"/>
              <w:right w:val="nil"/>
            </w:tcBorders>
            <w:shd w:val="clear" w:color="auto" w:fill="auto"/>
            <w:noWrap/>
            <w:vAlign w:val="center"/>
          </w:tcPr>
          <w:p w14:paraId="4115BF2E" w14:textId="77777777" w:rsidR="00090E3A" w:rsidRPr="00090E3A" w:rsidRDefault="00090E3A" w:rsidP="00090E3A">
            <w:pPr>
              <w:jc w:val="center"/>
              <w:rPr>
                <w:i/>
                <w:color w:val="000000"/>
                <w:sz w:val="20"/>
                <w:szCs w:val="20"/>
              </w:rPr>
            </w:pPr>
          </w:p>
        </w:tc>
        <w:tc>
          <w:tcPr>
            <w:tcW w:w="1742" w:type="dxa"/>
            <w:tcBorders>
              <w:top w:val="nil"/>
              <w:left w:val="nil"/>
              <w:bottom w:val="nil"/>
              <w:right w:val="nil"/>
            </w:tcBorders>
            <w:shd w:val="clear" w:color="auto" w:fill="auto"/>
            <w:noWrap/>
            <w:vAlign w:val="center"/>
          </w:tcPr>
          <w:p w14:paraId="7A542106" w14:textId="77777777" w:rsidR="00090E3A" w:rsidRPr="00090E3A" w:rsidRDefault="00090E3A" w:rsidP="00090E3A">
            <w:pPr>
              <w:jc w:val="center"/>
              <w:rPr>
                <w:i/>
                <w:color w:val="000000"/>
                <w:sz w:val="20"/>
                <w:szCs w:val="20"/>
              </w:rPr>
            </w:pPr>
          </w:p>
        </w:tc>
        <w:tc>
          <w:tcPr>
            <w:tcW w:w="1742" w:type="dxa"/>
            <w:tcBorders>
              <w:top w:val="nil"/>
              <w:left w:val="nil"/>
              <w:bottom w:val="nil"/>
              <w:right w:val="nil"/>
            </w:tcBorders>
            <w:shd w:val="clear" w:color="auto" w:fill="auto"/>
            <w:noWrap/>
            <w:vAlign w:val="center"/>
          </w:tcPr>
          <w:p w14:paraId="0883D0CE" w14:textId="77777777" w:rsidR="00090E3A" w:rsidRPr="00090E3A" w:rsidRDefault="00090E3A" w:rsidP="00090E3A">
            <w:pPr>
              <w:jc w:val="center"/>
              <w:rPr>
                <w:i/>
                <w:color w:val="000000"/>
                <w:sz w:val="20"/>
                <w:szCs w:val="20"/>
              </w:rPr>
            </w:pPr>
          </w:p>
        </w:tc>
        <w:tc>
          <w:tcPr>
            <w:tcW w:w="1415" w:type="dxa"/>
            <w:tcBorders>
              <w:top w:val="nil"/>
              <w:left w:val="nil"/>
              <w:bottom w:val="nil"/>
              <w:right w:val="nil"/>
            </w:tcBorders>
            <w:shd w:val="clear" w:color="auto" w:fill="auto"/>
            <w:noWrap/>
            <w:vAlign w:val="center"/>
          </w:tcPr>
          <w:p w14:paraId="43EE186C" w14:textId="77777777" w:rsidR="00090E3A" w:rsidRPr="00090E3A" w:rsidRDefault="00090E3A" w:rsidP="00090E3A">
            <w:pPr>
              <w:jc w:val="center"/>
              <w:rPr>
                <w:i/>
                <w:color w:val="000000"/>
                <w:sz w:val="20"/>
                <w:szCs w:val="20"/>
              </w:rPr>
            </w:pPr>
          </w:p>
        </w:tc>
        <w:tc>
          <w:tcPr>
            <w:tcW w:w="1742" w:type="dxa"/>
            <w:tcBorders>
              <w:top w:val="nil"/>
              <w:left w:val="single" w:sz="4" w:space="0" w:color="auto"/>
              <w:bottom w:val="nil"/>
              <w:right w:val="nil"/>
            </w:tcBorders>
            <w:shd w:val="clear" w:color="auto" w:fill="auto"/>
            <w:noWrap/>
            <w:vAlign w:val="center"/>
          </w:tcPr>
          <w:p w14:paraId="202BB9CF" w14:textId="77777777" w:rsidR="00090E3A" w:rsidRPr="00090E3A" w:rsidRDefault="00090E3A" w:rsidP="00090E3A">
            <w:pPr>
              <w:jc w:val="center"/>
              <w:rPr>
                <w:i/>
                <w:color w:val="000000"/>
                <w:sz w:val="20"/>
                <w:szCs w:val="20"/>
              </w:rPr>
            </w:pPr>
          </w:p>
        </w:tc>
        <w:tc>
          <w:tcPr>
            <w:tcW w:w="1407" w:type="dxa"/>
            <w:tcBorders>
              <w:top w:val="nil"/>
              <w:left w:val="nil"/>
              <w:bottom w:val="nil"/>
              <w:right w:val="nil"/>
            </w:tcBorders>
            <w:shd w:val="clear" w:color="auto" w:fill="auto"/>
            <w:noWrap/>
            <w:vAlign w:val="center"/>
          </w:tcPr>
          <w:p w14:paraId="4883F41E" w14:textId="77777777" w:rsidR="00090E3A" w:rsidRPr="00090E3A" w:rsidRDefault="00090E3A" w:rsidP="00090E3A">
            <w:pPr>
              <w:jc w:val="center"/>
              <w:rPr>
                <w:i/>
                <w:color w:val="000000"/>
                <w:sz w:val="20"/>
                <w:szCs w:val="20"/>
              </w:rPr>
            </w:pPr>
          </w:p>
        </w:tc>
      </w:tr>
      <w:tr w:rsidR="00847F65" w:rsidRPr="00847F65" w14:paraId="2D7567DB" w14:textId="77777777" w:rsidTr="005E2B4C">
        <w:trPr>
          <w:trHeight w:val="300"/>
        </w:trPr>
        <w:tc>
          <w:tcPr>
            <w:tcW w:w="2142" w:type="dxa"/>
            <w:tcBorders>
              <w:top w:val="nil"/>
              <w:left w:val="nil"/>
              <w:bottom w:val="nil"/>
              <w:right w:val="nil"/>
            </w:tcBorders>
            <w:shd w:val="clear" w:color="auto" w:fill="auto"/>
            <w:noWrap/>
            <w:vAlign w:val="center"/>
            <w:hideMark/>
          </w:tcPr>
          <w:p w14:paraId="6C9D754D" w14:textId="77777777" w:rsidR="00847F65" w:rsidRPr="00090E3A" w:rsidRDefault="00847F65" w:rsidP="005E2B4C">
            <w:pPr>
              <w:rPr>
                <w:i/>
                <w:color w:val="000000"/>
                <w:sz w:val="20"/>
                <w:szCs w:val="20"/>
              </w:rPr>
            </w:pPr>
            <w:r w:rsidRPr="00090E3A">
              <w:rPr>
                <w:i/>
                <w:color w:val="000000"/>
                <w:sz w:val="20"/>
                <w:szCs w:val="20"/>
              </w:rPr>
              <w:t>3 lags of GATT &amp; fta</w:t>
            </w:r>
          </w:p>
        </w:tc>
        <w:tc>
          <w:tcPr>
            <w:tcW w:w="1742" w:type="dxa"/>
            <w:tcBorders>
              <w:top w:val="nil"/>
              <w:left w:val="nil"/>
              <w:bottom w:val="nil"/>
              <w:right w:val="nil"/>
            </w:tcBorders>
            <w:shd w:val="clear" w:color="auto" w:fill="auto"/>
            <w:noWrap/>
            <w:vAlign w:val="center"/>
            <w:hideMark/>
          </w:tcPr>
          <w:p w14:paraId="6FA9F96A" w14:textId="77777777" w:rsidR="00847F65" w:rsidRPr="00090E3A" w:rsidRDefault="00847F65" w:rsidP="00090E3A">
            <w:pPr>
              <w:jc w:val="center"/>
              <w:rPr>
                <w:i/>
                <w:color w:val="000000"/>
                <w:sz w:val="20"/>
                <w:szCs w:val="20"/>
              </w:rPr>
            </w:pPr>
            <w:r w:rsidRPr="00090E3A">
              <w:rPr>
                <w:i/>
                <w:color w:val="000000"/>
                <w:sz w:val="20"/>
                <w:szCs w:val="20"/>
              </w:rPr>
              <w:t>Yes</w:t>
            </w:r>
          </w:p>
        </w:tc>
        <w:tc>
          <w:tcPr>
            <w:tcW w:w="1742" w:type="dxa"/>
            <w:tcBorders>
              <w:top w:val="nil"/>
              <w:left w:val="nil"/>
              <w:bottom w:val="nil"/>
              <w:right w:val="nil"/>
            </w:tcBorders>
            <w:shd w:val="clear" w:color="auto" w:fill="auto"/>
            <w:noWrap/>
            <w:vAlign w:val="center"/>
            <w:hideMark/>
          </w:tcPr>
          <w:p w14:paraId="66D24DD1" w14:textId="77777777" w:rsidR="00847F65" w:rsidRPr="00090E3A" w:rsidRDefault="00847F65" w:rsidP="00090E3A">
            <w:pPr>
              <w:jc w:val="center"/>
              <w:rPr>
                <w:i/>
                <w:color w:val="000000"/>
                <w:sz w:val="20"/>
                <w:szCs w:val="20"/>
              </w:rPr>
            </w:pPr>
            <w:r w:rsidRPr="00090E3A">
              <w:rPr>
                <w:i/>
                <w:color w:val="000000"/>
                <w:sz w:val="20"/>
                <w:szCs w:val="20"/>
              </w:rPr>
              <w:t>Yes</w:t>
            </w:r>
          </w:p>
        </w:tc>
        <w:tc>
          <w:tcPr>
            <w:tcW w:w="1415" w:type="dxa"/>
            <w:tcBorders>
              <w:top w:val="nil"/>
              <w:left w:val="nil"/>
              <w:bottom w:val="nil"/>
              <w:right w:val="nil"/>
            </w:tcBorders>
            <w:shd w:val="clear" w:color="auto" w:fill="auto"/>
            <w:noWrap/>
            <w:vAlign w:val="center"/>
            <w:hideMark/>
          </w:tcPr>
          <w:p w14:paraId="2D0043F0" w14:textId="77777777" w:rsidR="00847F65" w:rsidRPr="00090E3A" w:rsidRDefault="00847F65" w:rsidP="00090E3A">
            <w:pPr>
              <w:jc w:val="center"/>
              <w:rPr>
                <w:i/>
                <w:color w:val="000000"/>
                <w:sz w:val="20"/>
                <w:szCs w:val="20"/>
              </w:rPr>
            </w:pPr>
            <w:r w:rsidRPr="00090E3A">
              <w:rPr>
                <w:i/>
                <w:color w:val="000000"/>
                <w:sz w:val="20"/>
                <w:szCs w:val="20"/>
              </w:rPr>
              <w:t>Yes</w:t>
            </w:r>
          </w:p>
        </w:tc>
        <w:tc>
          <w:tcPr>
            <w:tcW w:w="1742" w:type="dxa"/>
            <w:tcBorders>
              <w:top w:val="nil"/>
              <w:left w:val="single" w:sz="4" w:space="0" w:color="auto"/>
              <w:bottom w:val="nil"/>
              <w:right w:val="nil"/>
            </w:tcBorders>
            <w:shd w:val="clear" w:color="auto" w:fill="auto"/>
            <w:noWrap/>
            <w:vAlign w:val="center"/>
            <w:hideMark/>
          </w:tcPr>
          <w:p w14:paraId="7E3B0F12" w14:textId="77777777" w:rsidR="00847F65" w:rsidRPr="00090E3A" w:rsidRDefault="00847F65" w:rsidP="00090E3A">
            <w:pPr>
              <w:jc w:val="center"/>
              <w:rPr>
                <w:i/>
                <w:color w:val="000000"/>
                <w:sz w:val="20"/>
                <w:szCs w:val="20"/>
              </w:rPr>
            </w:pPr>
            <w:r w:rsidRPr="00090E3A">
              <w:rPr>
                <w:i/>
                <w:color w:val="000000"/>
                <w:sz w:val="20"/>
                <w:szCs w:val="20"/>
              </w:rPr>
              <w:t>Yes</w:t>
            </w:r>
          </w:p>
        </w:tc>
        <w:tc>
          <w:tcPr>
            <w:tcW w:w="1407" w:type="dxa"/>
            <w:tcBorders>
              <w:top w:val="nil"/>
              <w:left w:val="nil"/>
              <w:bottom w:val="nil"/>
              <w:right w:val="nil"/>
            </w:tcBorders>
            <w:shd w:val="clear" w:color="auto" w:fill="auto"/>
            <w:noWrap/>
            <w:vAlign w:val="center"/>
            <w:hideMark/>
          </w:tcPr>
          <w:p w14:paraId="3ABE3148" w14:textId="77777777" w:rsidR="00847F65" w:rsidRPr="00090E3A" w:rsidRDefault="00847F65" w:rsidP="00090E3A">
            <w:pPr>
              <w:jc w:val="center"/>
              <w:rPr>
                <w:i/>
                <w:color w:val="000000"/>
                <w:sz w:val="20"/>
                <w:szCs w:val="20"/>
              </w:rPr>
            </w:pPr>
            <w:r w:rsidRPr="00090E3A">
              <w:rPr>
                <w:i/>
                <w:color w:val="000000"/>
                <w:sz w:val="20"/>
                <w:szCs w:val="20"/>
              </w:rPr>
              <w:t>Yes</w:t>
            </w:r>
          </w:p>
        </w:tc>
      </w:tr>
      <w:tr w:rsidR="00847F65" w:rsidRPr="00847F65" w14:paraId="5857C500" w14:textId="77777777" w:rsidTr="005E2B4C">
        <w:trPr>
          <w:trHeight w:val="300"/>
        </w:trPr>
        <w:tc>
          <w:tcPr>
            <w:tcW w:w="2142" w:type="dxa"/>
            <w:tcBorders>
              <w:top w:val="nil"/>
              <w:left w:val="nil"/>
              <w:bottom w:val="nil"/>
              <w:right w:val="nil"/>
            </w:tcBorders>
            <w:shd w:val="clear" w:color="auto" w:fill="auto"/>
            <w:noWrap/>
            <w:vAlign w:val="center"/>
            <w:hideMark/>
          </w:tcPr>
          <w:p w14:paraId="0C1E0817" w14:textId="77777777" w:rsidR="00847F65" w:rsidRPr="00090E3A" w:rsidRDefault="00847F65" w:rsidP="005E2B4C">
            <w:pPr>
              <w:rPr>
                <w:i/>
                <w:color w:val="000000"/>
                <w:sz w:val="20"/>
                <w:szCs w:val="20"/>
              </w:rPr>
            </w:pPr>
            <w:r w:rsidRPr="00090E3A">
              <w:rPr>
                <w:i/>
                <w:color w:val="000000"/>
                <w:sz w:val="20"/>
                <w:szCs w:val="20"/>
              </w:rPr>
              <w:t>1</w:t>
            </w:r>
            <w:r w:rsidRPr="00090E3A">
              <w:rPr>
                <w:i/>
                <w:color w:val="000000"/>
                <w:sz w:val="20"/>
                <w:szCs w:val="20"/>
                <w:vertAlign w:val="superscript"/>
              </w:rPr>
              <w:t>st</w:t>
            </w:r>
            <w:r w:rsidRPr="00090E3A">
              <w:rPr>
                <w:i/>
                <w:color w:val="000000"/>
                <w:sz w:val="20"/>
                <w:szCs w:val="20"/>
              </w:rPr>
              <w:t xml:space="preserve"> lead of GATT &amp;fta</w:t>
            </w:r>
          </w:p>
        </w:tc>
        <w:tc>
          <w:tcPr>
            <w:tcW w:w="1742" w:type="dxa"/>
            <w:tcBorders>
              <w:top w:val="nil"/>
              <w:left w:val="nil"/>
              <w:bottom w:val="nil"/>
              <w:right w:val="nil"/>
            </w:tcBorders>
            <w:shd w:val="clear" w:color="auto" w:fill="auto"/>
            <w:noWrap/>
            <w:vAlign w:val="center"/>
            <w:hideMark/>
          </w:tcPr>
          <w:p w14:paraId="7729116D" w14:textId="77777777" w:rsidR="00847F65" w:rsidRPr="00090E3A" w:rsidRDefault="00847F65" w:rsidP="00090E3A">
            <w:pPr>
              <w:jc w:val="center"/>
              <w:rPr>
                <w:i/>
                <w:color w:val="000000"/>
                <w:sz w:val="20"/>
                <w:szCs w:val="20"/>
              </w:rPr>
            </w:pPr>
            <w:r w:rsidRPr="00090E3A">
              <w:rPr>
                <w:i/>
                <w:color w:val="000000"/>
                <w:sz w:val="20"/>
                <w:szCs w:val="20"/>
              </w:rPr>
              <w:t>No</w:t>
            </w:r>
          </w:p>
        </w:tc>
        <w:tc>
          <w:tcPr>
            <w:tcW w:w="1742" w:type="dxa"/>
            <w:tcBorders>
              <w:top w:val="nil"/>
              <w:left w:val="nil"/>
              <w:bottom w:val="nil"/>
              <w:right w:val="nil"/>
            </w:tcBorders>
            <w:shd w:val="clear" w:color="auto" w:fill="auto"/>
            <w:noWrap/>
            <w:vAlign w:val="center"/>
            <w:hideMark/>
          </w:tcPr>
          <w:p w14:paraId="7D8E6FD7" w14:textId="77777777" w:rsidR="00847F65" w:rsidRPr="00090E3A" w:rsidRDefault="00847F65" w:rsidP="00090E3A">
            <w:pPr>
              <w:jc w:val="center"/>
              <w:rPr>
                <w:i/>
                <w:color w:val="000000"/>
                <w:sz w:val="20"/>
                <w:szCs w:val="20"/>
              </w:rPr>
            </w:pPr>
            <w:r w:rsidRPr="00090E3A">
              <w:rPr>
                <w:i/>
                <w:color w:val="000000"/>
                <w:sz w:val="20"/>
                <w:szCs w:val="20"/>
              </w:rPr>
              <w:t>Yes</w:t>
            </w:r>
          </w:p>
        </w:tc>
        <w:tc>
          <w:tcPr>
            <w:tcW w:w="1415" w:type="dxa"/>
            <w:tcBorders>
              <w:top w:val="nil"/>
              <w:left w:val="nil"/>
              <w:bottom w:val="nil"/>
              <w:right w:val="nil"/>
            </w:tcBorders>
            <w:shd w:val="clear" w:color="auto" w:fill="auto"/>
            <w:noWrap/>
            <w:vAlign w:val="center"/>
            <w:hideMark/>
          </w:tcPr>
          <w:p w14:paraId="5C658503" w14:textId="77777777" w:rsidR="00847F65" w:rsidRPr="00090E3A" w:rsidRDefault="00847F65" w:rsidP="00090E3A">
            <w:pPr>
              <w:jc w:val="center"/>
              <w:rPr>
                <w:i/>
                <w:color w:val="000000"/>
                <w:sz w:val="20"/>
                <w:szCs w:val="20"/>
              </w:rPr>
            </w:pPr>
            <w:r w:rsidRPr="00090E3A">
              <w:rPr>
                <w:i/>
                <w:color w:val="000000"/>
                <w:sz w:val="20"/>
                <w:szCs w:val="20"/>
              </w:rPr>
              <w:t>Yes</w:t>
            </w:r>
          </w:p>
        </w:tc>
        <w:tc>
          <w:tcPr>
            <w:tcW w:w="1742" w:type="dxa"/>
            <w:tcBorders>
              <w:top w:val="nil"/>
              <w:left w:val="single" w:sz="4" w:space="0" w:color="auto"/>
              <w:bottom w:val="nil"/>
              <w:right w:val="nil"/>
            </w:tcBorders>
            <w:shd w:val="clear" w:color="auto" w:fill="auto"/>
            <w:noWrap/>
            <w:vAlign w:val="center"/>
            <w:hideMark/>
          </w:tcPr>
          <w:p w14:paraId="3DACB24F" w14:textId="77777777" w:rsidR="00847F65" w:rsidRPr="00090E3A" w:rsidRDefault="00847F65" w:rsidP="00090E3A">
            <w:pPr>
              <w:jc w:val="center"/>
              <w:rPr>
                <w:i/>
                <w:color w:val="000000"/>
                <w:sz w:val="20"/>
                <w:szCs w:val="20"/>
              </w:rPr>
            </w:pPr>
            <w:r w:rsidRPr="00090E3A">
              <w:rPr>
                <w:i/>
                <w:color w:val="000000"/>
                <w:sz w:val="20"/>
                <w:szCs w:val="20"/>
              </w:rPr>
              <w:t>Yes</w:t>
            </w:r>
          </w:p>
        </w:tc>
        <w:tc>
          <w:tcPr>
            <w:tcW w:w="1407" w:type="dxa"/>
            <w:tcBorders>
              <w:top w:val="nil"/>
              <w:left w:val="nil"/>
              <w:bottom w:val="nil"/>
              <w:right w:val="nil"/>
            </w:tcBorders>
            <w:shd w:val="clear" w:color="auto" w:fill="auto"/>
            <w:noWrap/>
            <w:vAlign w:val="center"/>
            <w:hideMark/>
          </w:tcPr>
          <w:p w14:paraId="254161F5" w14:textId="77777777" w:rsidR="00847F65" w:rsidRPr="00090E3A" w:rsidRDefault="00847F65" w:rsidP="00090E3A">
            <w:pPr>
              <w:jc w:val="center"/>
              <w:rPr>
                <w:i/>
                <w:color w:val="000000"/>
                <w:sz w:val="20"/>
                <w:szCs w:val="20"/>
              </w:rPr>
            </w:pPr>
            <w:r w:rsidRPr="00090E3A">
              <w:rPr>
                <w:i/>
                <w:color w:val="000000"/>
                <w:sz w:val="20"/>
                <w:szCs w:val="20"/>
              </w:rPr>
              <w:t>Yes</w:t>
            </w:r>
          </w:p>
        </w:tc>
      </w:tr>
      <w:tr w:rsidR="00847F65" w:rsidRPr="00847F65" w14:paraId="1151ED5E" w14:textId="77777777" w:rsidTr="005E2B4C">
        <w:trPr>
          <w:trHeight w:val="300"/>
        </w:trPr>
        <w:tc>
          <w:tcPr>
            <w:tcW w:w="2142" w:type="dxa"/>
            <w:tcBorders>
              <w:top w:val="nil"/>
              <w:left w:val="nil"/>
              <w:bottom w:val="nil"/>
              <w:right w:val="nil"/>
            </w:tcBorders>
            <w:shd w:val="clear" w:color="auto" w:fill="auto"/>
            <w:noWrap/>
            <w:vAlign w:val="center"/>
            <w:hideMark/>
          </w:tcPr>
          <w:p w14:paraId="3A2D7867" w14:textId="77777777" w:rsidR="00847F65" w:rsidRPr="00090E3A" w:rsidRDefault="00847F65" w:rsidP="005E2B4C">
            <w:pPr>
              <w:rPr>
                <w:i/>
                <w:color w:val="000000"/>
                <w:sz w:val="20"/>
                <w:szCs w:val="20"/>
              </w:rPr>
            </w:pPr>
            <w:r w:rsidRPr="00090E3A">
              <w:rPr>
                <w:i/>
                <w:color w:val="000000"/>
                <w:sz w:val="20"/>
                <w:szCs w:val="20"/>
              </w:rPr>
              <w:t>Obs</w:t>
            </w:r>
          </w:p>
        </w:tc>
        <w:tc>
          <w:tcPr>
            <w:tcW w:w="1742" w:type="dxa"/>
            <w:tcBorders>
              <w:top w:val="nil"/>
              <w:left w:val="nil"/>
              <w:bottom w:val="nil"/>
              <w:right w:val="nil"/>
            </w:tcBorders>
            <w:shd w:val="clear" w:color="auto" w:fill="auto"/>
            <w:noWrap/>
            <w:vAlign w:val="center"/>
            <w:hideMark/>
          </w:tcPr>
          <w:p w14:paraId="7D70D45E" w14:textId="77777777" w:rsidR="00847F65" w:rsidRPr="00090E3A" w:rsidRDefault="00847F65" w:rsidP="00090E3A">
            <w:pPr>
              <w:jc w:val="center"/>
              <w:rPr>
                <w:i/>
                <w:color w:val="000000"/>
                <w:sz w:val="20"/>
                <w:szCs w:val="20"/>
              </w:rPr>
            </w:pPr>
            <w:r w:rsidRPr="00090E3A">
              <w:rPr>
                <w:i/>
                <w:color w:val="000000"/>
                <w:sz w:val="20"/>
                <w:szCs w:val="20"/>
              </w:rPr>
              <w:t>143771</w:t>
            </w:r>
          </w:p>
        </w:tc>
        <w:tc>
          <w:tcPr>
            <w:tcW w:w="1742" w:type="dxa"/>
            <w:tcBorders>
              <w:top w:val="nil"/>
              <w:left w:val="nil"/>
              <w:bottom w:val="nil"/>
              <w:right w:val="nil"/>
            </w:tcBorders>
            <w:shd w:val="clear" w:color="auto" w:fill="auto"/>
            <w:noWrap/>
            <w:vAlign w:val="center"/>
            <w:hideMark/>
          </w:tcPr>
          <w:p w14:paraId="6C9008E4" w14:textId="77777777" w:rsidR="00847F65" w:rsidRPr="00090E3A" w:rsidRDefault="00847F65" w:rsidP="00090E3A">
            <w:pPr>
              <w:jc w:val="center"/>
              <w:rPr>
                <w:i/>
                <w:color w:val="000000"/>
                <w:sz w:val="20"/>
                <w:szCs w:val="20"/>
              </w:rPr>
            </w:pPr>
            <w:r w:rsidRPr="00090E3A">
              <w:rPr>
                <w:i/>
                <w:color w:val="000000"/>
                <w:sz w:val="20"/>
                <w:szCs w:val="20"/>
              </w:rPr>
              <w:t>143771</w:t>
            </w:r>
          </w:p>
        </w:tc>
        <w:tc>
          <w:tcPr>
            <w:tcW w:w="1415" w:type="dxa"/>
            <w:tcBorders>
              <w:top w:val="nil"/>
              <w:left w:val="nil"/>
              <w:bottom w:val="nil"/>
              <w:right w:val="nil"/>
            </w:tcBorders>
            <w:shd w:val="clear" w:color="auto" w:fill="auto"/>
            <w:noWrap/>
            <w:vAlign w:val="center"/>
            <w:hideMark/>
          </w:tcPr>
          <w:p w14:paraId="6CB1FEA6" w14:textId="77777777" w:rsidR="00847F65" w:rsidRPr="00090E3A" w:rsidRDefault="00847F65" w:rsidP="00090E3A">
            <w:pPr>
              <w:jc w:val="center"/>
              <w:rPr>
                <w:i/>
                <w:color w:val="000000"/>
                <w:sz w:val="20"/>
                <w:szCs w:val="20"/>
              </w:rPr>
            </w:pPr>
            <w:r w:rsidRPr="00090E3A">
              <w:rPr>
                <w:i/>
                <w:color w:val="000000"/>
                <w:sz w:val="20"/>
                <w:szCs w:val="20"/>
              </w:rPr>
              <w:t>189543</w:t>
            </w:r>
          </w:p>
        </w:tc>
        <w:tc>
          <w:tcPr>
            <w:tcW w:w="1742" w:type="dxa"/>
            <w:tcBorders>
              <w:top w:val="nil"/>
              <w:left w:val="single" w:sz="4" w:space="0" w:color="auto"/>
              <w:bottom w:val="nil"/>
              <w:right w:val="nil"/>
            </w:tcBorders>
            <w:shd w:val="clear" w:color="auto" w:fill="auto"/>
            <w:noWrap/>
            <w:vAlign w:val="center"/>
            <w:hideMark/>
          </w:tcPr>
          <w:p w14:paraId="03830ED5" w14:textId="77777777" w:rsidR="00847F65" w:rsidRPr="00090E3A" w:rsidRDefault="00847F65" w:rsidP="00090E3A">
            <w:pPr>
              <w:jc w:val="center"/>
              <w:rPr>
                <w:i/>
                <w:color w:val="000000"/>
                <w:sz w:val="20"/>
                <w:szCs w:val="20"/>
              </w:rPr>
            </w:pPr>
            <w:r w:rsidRPr="00090E3A">
              <w:rPr>
                <w:i/>
                <w:color w:val="000000"/>
                <w:sz w:val="20"/>
                <w:szCs w:val="20"/>
              </w:rPr>
              <w:t>131212</w:t>
            </w:r>
          </w:p>
        </w:tc>
        <w:tc>
          <w:tcPr>
            <w:tcW w:w="1407" w:type="dxa"/>
            <w:tcBorders>
              <w:top w:val="nil"/>
              <w:left w:val="nil"/>
              <w:bottom w:val="nil"/>
              <w:right w:val="nil"/>
            </w:tcBorders>
            <w:shd w:val="clear" w:color="auto" w:fill="auto"/>
            <w:noWrap/>
            <w:vAlign w:val="center"/>
            <w:hideMark/>
          </w:tcPr>
          <w:p w14:paraId="55DCC3D7" w14:textId="77777777" w:rsidR="00847F65" w:rsidRPr="00090E3A" w:rsidRDefault="00847F65" w:rsidP="00090E3A">
            <w:pPr>
              <w:jc w:val="center"/>
              <w:rPr>
                <w:i/>
                <w:color w:val="000000"/>
                <w:sz w:val="20"/>
                <w:szCs w:val="20"/>
              </w:rPr>
            </w:pPr>
            <w:r w:rsidRPr="00090E3A">
              <w:rPr>
                <w:i/>
                <w:color w:val="000000"/>
                <w:sz w:val="20"/>
                <w:szCs w:val="20"/>
              </w:rPr>
              <w:t>174317</w:t>
            </w:r>
          </w:p>
        </w:tc>
      </w:tr>
      <w:tr w:rsidR="00847F65" w:rsidRPr="00847F65" w14:paraId="1427D1BA" w14:textId="77777777" w:rsidTr="005E2B4C">
        <w:trPr>
          <w:trHeight w:val="300"/>
        </w:trPr>
        <w:tc>
          <w:tcPr>
            <w:tcW w:w="2142" w:type="dxa"/>
            <w:tcBorders>
              <w:top w:val="nil"/>
              <w:left w:val="nil"/>
              <w:bottom w:val="nil"/>
              <w:right w:val="nil"/>
            </w:tcBorders>
            <w:shd w:val="clear" w:color="auto" w:fill="auto"/>
            <w:noWrap/>
            <w:vAlign w:val="center"/>
            <w:hideMark/>
          </w:tcPr>
          <w:p w14:paraId="0F0BF5F6" w14:textId="77777777" w:rsidR="00847F65" w:rsidRPr="00090E3A" w:rsidRDefault="00847F65" w:rsidP="005E2B4C">
            <w:pPr>
              <w:rPr>
                <w:i/>
                <w:color w:val="000000"/>
                <w:sz w:val="20"/>
                <w:szCs w:val="20"/>
              </w:rPr>
            </w:pPr>
            <w:r w:rsidRPr="00090E3A">
              <w:rPr>
                <w:i/>
                <w:color w:val="000000"/>
                <w:sz w:val="20"/>
                <w:szCs w:val="20"/>
              </w:rPr>
              <w:t>Countries</w:t>
            </w:r>
          </w:p>
        </w:tc>
        <w:tc>
          <w:tcPr>
            <w:tcW w:w="1742" w:type="dxa"/>
            <w:tcBorders>
              <w:top w:val="nil"/>
              <w:left w:val="nil"/>
              <w:bottom w:val="nil"/>
              <w:right w:val="nil"/>
            </w:tcBorders>
            <w:shd w:val="clear" w:color="auto" w:fill="auto"/>
            <w:noWrap/>
            <w:vAlign w:val="center"/>
            <w:hideMark/>
          </w:tcPr>
          <w:p w14:paraId="58E7846E" w14:textId="77777777" w:rsidR="00847F65" w:rsidRPr="00090E3A" w:rsidRDefault="00847F65" w:rsidP="00090E3A">
            <w:pPr>
              <w:jc w:val="center"/>
              <w:rPr>
                <w:i/>
                <w:color w:val="000000"/>
                <w:sz w:val="20"/>
                <w:szCs w:val="20"/>
              </w:rPr>
            </w:pPr>
            <w:r w:rsidRPr="00090E3A">
              <w:rPr>
                <w:i/>
                <w:color w:val="000000"/>
                <w:sz w:val="20"/>
                <w:szCs w:val="20"/>
              </w:rPr>
              <w:t>22</w:t>
            </w:r>
          </w:p>
        </w:tc>
        <w:tc>
          <w:tcPr>
            <w:tcW w:w="1742" w:type="dxa"/>
            <w:tcBorders>
              <w:top w:val="nil"/>
              <w:left w:val="nil"/>
              <w:bottom w:val="nil"/>
              <w:right w:val="nil"/>
            </w:tcBorders>
            <w:shd w:val="clear" w:color="auto" w:fill="auto"/>
            <w:noWrap/>
            <w:vAlign w:val="center"/>
            <w:hideMark/>
          </w:tcPr>
          <w:p w14:paraId="44D0544A" w14:textId="77777777" w:rsidR="00847F65" w:rsidRPr="00090E3A" w:rsidRDefault="00847F65" w:rsidP="00090E3A">
            <w:pPr>
              <w:jc w:val="center"/>
              <w:rPr>
                <w:i/>
                <w:color w:val="000000"/>
                <w:sz w:val="20"/>
                <w:szCs w:val="20"/>
              </w:rPr>
            </w:pPr>
            <w:r w:rsidRPr="00090E3A">
              <w:rPr>
                <w:i/>
                <w:color w:val="000000"/>
                <w:sz w:val="20"/>
                <w:szCs w:val="20"/>
              </w:rPr>
              <w:t>22</w:t>
            </w:r>
          </w:p>
        </w:tc>
        <w:tc>
          <w:tcPr>
            <w:tcW w:w="1415" w:type="dxa"/>
            <w:tcBorders>
              <w:top w:val="nil"/>
              <w:left w:val="nil"/>
              <w:bottom w:val="nil"/>
              <w:right w:val="nil"/>
            </w:tcBorders>
            <w:shd w:val="clear" w:color="auto" w:fill="auto"/>
            <w:noWrap/>
            <w:vAlign w:val="center"/>
            <w:hideMark/>
          </w:tcPr>
          <w:p w14:paraId="073E7D0B" w14:textId="77777777" w:rsidR="00847F65" w:rsidRPr="00090E3A" w:rsidRDefault="00847F65" w:rsidP="00090E3A">
            <w:pPr>
              <w:jc w:val="center"/>
              <w:rPr>
                <w:i/>
                <w:color w:val="000000"/>
                <w:sz w:val="20"/>
                <w:szCs w:val="20"/>
              </w:rPr>
            </w:pPr>
            <w:r w:rsidRPr="00090E3A">
              <w:rPr>
                <w:i/>
                <w:color w:val="000000"/>
                <w:sz w:val="20"/>
                <w:szCs w:val="20"/>
              </w:rPr>
              <w:t>22</w:t>
            </w:r>
          </w:p>
        </w:tc>
        <w:tc>
          <w:tcPr>
            <w:tcW w:w="1742" w:type="dxa"/>
            <w:tcBorders>
              <w:top w:val="nil"/>
              <w:left w:val="single" w:sz="4" w:space="0" w:color="auto"/>
              <w:bottom w:val="nil"/>
              <w:right w:val="nil"/>
            </w:tcBorders>
            <w:shd w:val="clear" w:color="auto" w:fill="auto"/>
            <w:noWrap/>
            <w:vAlign w:val="center"/>
            <w:hideMark/>
          </w:tcPr>
          <w:p w14:paraId="034FC087" w14:textId="77777777" w:rsidR="00847F65" w:rsidRPr="00090E3A" w:rsidRDefault="00847F65" w:rsidP="00090E3A">
            <w:pPr>
              <w:jc w:val="center"/>
              <w:rPr>
                <w:i/>
                <w:color w:val="000000"/>
                <w:sz w:val="20"/>
                <w:szCs w:val="20"/>
              </w:rPr>
            </w:pPr>
            <w:r w:rsidRPr="00090E3A">
              <w:rPr>
                <w:i/>
                <w:color w:val="000000"/>
                <w:sz w:val="20"/>
                <w:szCs w:val="20"/>
              </w:rPr>
              <w:t>22</w:t>
            </w:r>
          </w:p>
        </w:tc>
        <w:tc>
          <w:tcPr>
            <w:tcW w:w="1407" w:type="dxa"/>
            <w:tcBorders>
              <w:top w:val="nil"/>
              <w:left w:val="nil"/>
              <w:bottom w:val="nil"/>
              <w:right w:val="nil"/>
            </w:tcBorders>
            <w:shd w:val="clear" w:color="auto" w:fill="auto"/>
            <w:noWrap/>
            <w:vAlign w:val="center"/>
            <w:hideMark/>
          </w:tcPr>
          <w:p w14:paraId="2599B0FE" w14:textId="77777777" w:rsidR="00847F65" w:rsidRPr="00090E3A" w:rsidRDefault="00847F65" w:rsidP="00090E3A">
            <w:pPr>
              <w:jc w:val="center"/>
              <w:rPr>
                <w:i/>
                <w:color w:val="000000"/>
                <w:sz w:val="20"/>
                <w:szCs w:val="20"/>
              </w:rPr>
            </w:pPr>
            <w:r w:rsidRPr="00090E3A">
              <w:rPr>
                <w:i/>
                <w:color w:val="000000"/>
                <w:sz w:val="20"/>
                <w:szCs w:val="20"/>
              </w:rPr>
              <w:t>22</w:t>
            </w:r>
          </w:p>
        </w:tc>
      </w:tr>
      <w:tr w:rsidR="00847F65" w:rsidRPr="00847F65" w14:paraId="440ACCD1" w14:textId="77777777" w:rsidTr="005E2B4C">
        <w:trPr>
          <w:trHeight w:val="300"/>
        </w:trPr>
        <w:tc>
          <w:tcPr>
            <w:tcW w:w="2142" w:type="dxa"/>
            <w:tcBorders>
              <w:top w:val="nil"/>
              <w:left w:val="nil"/>
              <w:bottom w:val="nil"/>
              <w:right w:val="nil"/>
            </w:tcBorders>
            <w:shd w:val="clear" w:color="auto" w:fill="auto"/>
            <w:noWrap/>
            <w:vAlign w:val="center"/>
            <w:hideMark/>
          </w:tcPr>
          <w:p w14:paraId="56A581B2" w14:textId="77777777" w:rsidR="00847F65" w:rsidRPr="00090E3A" w:rsidRDefault="00847F65" w:rsidP="005E2B4C">
            <w:pPr>
              <w:rPr>
                <w:i/>
                <w:color w:val="000000"/>
                <w:sz w:val="20"/>
                <w:szCs w:val="20"/>
              </w:rPr>
            </w:pPr>
            <w:r w:rsidRPr="00090E3A">
              <w:rPr>
                <w:i/>
                <w:color w:val="000000"/>
                <w:sz w:val="20"/>
                <w:szCs w:val="20"/>
              </w:rPr>
              <w:t>No. Products</w:t>
            </w:r>
          </w:p>
        </w:tc>
        <w:tc>
          <w:tcPr>
            <w:tcW w:w="1742" w:type="dxa"/>
            <w:tcBorders>
              <w:top w:val="nil"/>
              <w:left w:val="nil"/>
              <w:bottom w:val="nil"/>
              <w:right w:val="nil"/>
            </w:tcBorders>
            <w:shd w:val="clear" w:color="auto" w:fill="auto"/>
            <w:noWrap/>
            <w:vAlign w:val="center"/>
            <w:hideMark/>
          </w:tcPr>
          <w:p w14:paraId="266D5B30" w14:textId="77777777" w:rsidR="00847F65" w:rsidRPr="00090E3A" w:rsidRDefault="00847F65" w:rsidP="00090E3A">
            <w:pPr>
              <w:jc w:val="center"/>
              <w:rPr>
                <w:i/>
                <w:color w:val="000000"/>
                <w:sz w:val="20"/>
                <w:szCs w:val="20"/>
              </w:rPr>
            </w:pPr>
            <w:r w:rsidRPr="00090E3A">
              <w:rPr>
                <w:i/>
                <w:color w:val="000000"/>
                <w:sz w:val="20"/>
                <w:szCs w:val="20"/>
              </w:rPr>
              <w:t>413</w:t>
            </w:r>
          </w:p>
        </w:tc>
        <w:tc>
          <w:tcPr>
            <w:tcW w:w="1742" w:type="dxa"/>
            <w:tcBorders>
              <w:top w:val="nil"/>
              <w:left w:val="nil"/>
              <w:bottom w:val="nil"/>
              <w:right w:val="nil"/>
            </w:tcBorders>
            <w:shd w:val="clear" w:color="auto" w:fill="auto"/>
            <w:noWrap/>
            <w:vAlign w:val="center"/>
            <w:hideMark/>
          </w:tcPr>
          <w:p w14:paraId="4C500BE4" w14:textId="77777777" w:rsidR="00847F65" w:rsidRPr="00090E3A" w:rsidRDefault="00847F65" w:rsidP="00090E3A">
            <w:pPr>
              <w:jc w:val="center"/>
              <w:rPr>
                <w:i/>
                <w:color w:val="000000"/>
                <w:sz w:val="20"/>
                <w:szCs w:val="20"/>
              </w:rPr>
            </w:pPr>
            <w:r w:rsidRPr="00090E3A">
              <w:rPr>
                <w:i/>
                <w:color w:val="000000"/>
                <w:sz w:val="20"/>
                <w:szCs w:val="20"/>
              </w:rPr>
              <w:t>413</w:t>
            </w:r>
          </w:p>
        </w:tc>
        <w:tc>
          <w:tcPr>
            <w:tcW w:w="1415" w:type="dxa"/>
            <w:tcBorders>
              <w:top w:val="nil"/>
              <w:left w:val="nil"/>
              <w:bottom w:val="nil"/>
              <w:right w:val="nil"/>
            </w:tcBorders>
            <w:shd w:val="clear" w:color="auto" w:fill="auto"/>
            <w:noWrap/>
            <w:vAlign w:val="center"/>
            <w:hideMark/>
          </w:tcPr>
          <w:p w14:paraId="35E5004C" w14:textId="77777777" w:rsidR="00847F65" w:rsidRPr="00090E3A" w:rsidRDefault="00847F65" w:rsidP="00090E3A">
            <w:pPr>
              <w:jc w:val="center"/>
              <w:rPr>
                <w:i/>
                <w:color w:val="000000"/>
                <w:sz w:val="20"/>
                <w:szCs w:val="20"/>
              </w:rPr>
            </w:pPr>
            <w:r w:rsidRPr="00090E3A">
              <w:rPr>
                <w:i/>
                <w:color w:val="000000"/>
                <w:sz w:val="20"/>
                <w:szCs w:val="20"/>
              </w:rPr>
              <w:t>591</w:t>
            </w:r>
          </w:p>
        </w:tc>
        <w:tc>
          <w:tcPr>
            <w:tcW w:w="1742" w:type="dxa"/>
            <w:tcBorders>
              <w:top w:val="nil"/>
              <w:left w:val="single" w:sz="4" w:space="0" w:color="auto"/>
              <w:bottom w:val="nil"/>
              <w:right w:val="nil"/>
            </w:tcBorders>
            <w:shd w:val="clear" w:color="auto" w:fill="auto"/>
            <w:noWrap/>
            <w:vAlign w:val="center"/>
            <w:hideMark/>
          </w:tcPr>
          <w:p w14:paraId="2D492E9D" w14:textId="77777777" w:rsidR="00847F65" w:rsidRPr="00090E3A" w:rsidRDefault="00847F65" w:rsidP="00090E3A">
            <w:pPr>
              <w:jc w:val="center"/>
              <w:rPr>
                <w:i/>
                <w:color w:val="000000"/>
                <w:sz w:val="20"/>
                <w:szCs w:val="20"/>
              </w:rPr>
            </w:pPr>
            <w:r w:rsidRPr="00090E3A">
              <w:rPr>
                <w:i/>
                <w:color w:val="000000"/>
                <w:sz w:val="20"/>
                <w:szCs w:val="20"/>
              </w:rPr>
              <w:t>333</w:t>
            </w:r>
          </w:p>
        </w:tc>
        <w:tc>
          <w:tcPr>
            <w:tcW w:w="1407" w:type="dxa"/>
            <w:tcBorders>
              <w:top w:val="nil"/>
              <w:left w:val="nil"/>
              <w:bottom w:val="nil"/>
              <w:right w:val="nil"/>
            </w:tcBorders>
            <w:shd w:val="clear" w:color="auto" w:fill="auto"/>
            <w:noWrap/>
            <w:vAlign w:val="center"/>
            <w:hideMark/>
          </w:tcPr>
          <w:p w14:paraId="6B8E100E" w14:textId="77777777" w:rsidR="00847F65" w:rsidRPr="00090E3A" w:rsidRDefault="00847F65" w:rsidP="00090E3A">
            <w:pPr>
              <w:jc w:val="center"/>
              <w:rPr>
                <w:i/>
                <w:color w:val="000000"/>
                <w:sz w:val="20"/>
                <w:szCs w:val="20"/>
              </w:rPr>
            </w:pPr>
            <w:r w:rsidRPr="00090E3A">
              <w:rPr>
                <w:i/>
                <w:color w:val="000000"/>
                <w:sz w:val="20"/>
                <w:szCs w:val="20"/>
              </w:rPr>
              <w:t>485</w:t>
            </w:r>
          </w:p>
        </w:tc>
      </w:tr>
      <w:tr w:rsidR="00847F65" w:rsidRPr="00847F65" w14:paraId="45749A3E" w14:textId="77777777" w:rsidTr="005E2B4C">
        <w:trPr>
          <w:trHeight w:val="300"/>
        </w:trPr>
        <w:tc>
          <w:tcPr>
            <w:tcW w:w="2142" w:type="dxa"/>
            <w:tcBorders>
              <w:top w:val="nil"/>
              <w:left w:val="nil"/>
              <w:bottom w:val="nil"/>
              <w:right w:val="nil"/>
            </w:tcBorders>
            <w:shd w:val="clear" w:color="auto" w:fill="auto"/>
            <w:noWrap/>
            <w:vAlign w:val="center"/>
            <w:hideMark/>
          </w:tcPr>
          <w:p w14:paraId="6D603EC5" w14:textId="77777777" w:rsidR="00847F65" w:rsidRPr="00090E3A" w:rsidRDefault="001521FE" w:rsidP="005E2B4C">
            <w:pPr>
              <w:rPr>
                <w:i/>
                <w:color w:val="000000"/>
                <w:sz w:val="20"/>
                <w:szCs w:val="20"/>
              </w:rPr>
            </w:pPr>
            <m:oMathPara>
              <m:oMathParaPr>
                <m:jc m:val="left"/>
              </m:oMathParaPr>
              <m:oMath>
                <m:sSup>
                  <m:sSupPr>
                    <m:ctrlPr>
                      <w:rPr>
                        <w:rFonts w:ascii="Cambria Math" w:hAnsi="Cambria Math"/>
                        <w:i/>
                        <w:color w:val="000000"/>
                        <w:sz w:val="20"/>
                        <w:szCs w:val="20"/>
                      </w:rPr>
                    </m:ctrlPr>
                  </m:sSupPr>
                  <m:e>
                    <m:r>
                      <w:rPr>
                        <w:rFonts w:ascii="Cambria Math" w:hAnsi="Cambria Math"/>
                        <w:color w:val="000000"/>
                        <w:sz w:val="20"/>
                        <w:szCs w:val="20"/>
                      </w:rPr>
                      <m:t>R</m:t>
                    </m:r>
                  </m:e>
                  <m:sup>
                    <m:r>
                      <w:rPr>
                        <w:rFonts w:ascii="Cambria Math" w:hAnsi="Cambria Math"/>
                        <w:color w:val="000000"/>
                        <w:sz w:val="20"/>
                        <w:szCs w:val="20"/>
                      </w:rPr>
                      <m:t>2</m:t>
                    </m:r>
                  </m:sup>
                </m:sSup>
              </m:oMath>
            </m:oMathPara>
          </w:p>
        </w:tc>
        <w:tc>
          <w:tcPr>
            <w:tcW w:w="1742" w:type="dxa"/>
            <w:tcBorders>
              <w:top w:val="nil"/>
              <w:left w:val="nil"/>
              <w:bottom w:val="nil"/>
              <w:right w:val="nil"/>
            </w:tcBorders>
            <w:shd w:val="clear" w:color="auto" w:fill="auto"/>
            <w:noWrap/>
            <w:vAlign w:val="center"/>
            <w:hideMark/>
          </w:tcPr>
          <w:p w14:paraId="20550B65" w14:textId="77777777" w:rsidR="00847F65" w:rsidRPr="00090E3A" w:rsidRDefault="00847F65" w:rsidP="00090E3A">
            <w:pPr>
              <w:jc w:val="center"/>
              <w:rPr>
                <w:i/>
                <w:color w:val="000000"/>
                <w:sz w:val="20"/>
                <w:szCs w:val="20"/>
              </w:rPr>
            </w:pPr>
            <w:r w:rsidRPr="00090E3A">
              <w:rPr>
                <w:i/>
                <w:color w:val="000000"/>
                <w:sz w:val="20"/>
                <w:szCs w:val="20"/>
              </w:rPr>
              <w:t>0.191</w:t>
            </w:r>
          </w:p>
        </w:tc>
        <w:tc>
          <w:tcPr>
            <w:tcW w:w="1742" w:type="dxa"/>
            <w:tcBorders>
              <w:top w:val="nil"/>
              <w:left w:val="nil"/>
              <w:bottom w:val="nil"/>
              <w:right w:val="nil"/>
            </w:tcBorders>
            <w:shd w:val="clear" w:color="auto" w:fill="auto"/>
            <w:noWrap/>
            <w:vAlign w:val="center"/>
            <w:hideMark/>
          </w:tcPr>
          <w:p w14:paraId="79A2F708" w14:textId="77777777" w:rsidR="00847F65" w:rsidRPr="00090E3A" w:rsidRDefault="00847F65" w:rsidP="00090E3A">
            <w:pPr>
              <w:jc w:val="center"/>
              <w:rPr>
                <w:i/>
                <w:color w:val="000000"/>
                <w:sz w:val="20"/>
                <w:szCs w:val="20"/>
              </w:rPr>
            </w:pPr>
            <w:r w:rsidRPr="00090E3A">
              <w:rPr>
                <w:i/>
                <w:color w:val="000000"/>
                <w:sz w:val="20"/>
                <w:szCs w:val="20"/>
              </w:rPr>
              <w:t>0.191</w:t>
            </w:r>
          </w:p>
        </w:tc>
        <w:tc>
          <w:tcPr>
            <w:tcW w:w="1415" w:type="dxa"/>
            <w:tcBorders>
              <w:top w:val="nil"/>
              <w:left w:val="nil"/>
              <w:bottom w:val="nil"/>
              <w:right w:val="nil"/>
            </w:tcBorders>
            <w:shd w:val="clear" w:color="auto" w:fill="auto"/>
            <w:noWrap/>
            <w:vAlign w:val="center"/>
            <w:hideMark/>
          </w:tcPr>
          <w:p w14:paraId="7BEBE9D6" w14:textId="77777777" w:rsidR="00847F65" w:rsidRPr="00090E3A" w:rsidRDefault="00847F65" w:rsidP="00090E3A">
            <w:pPr>
              <w:jc w:val="center"/>
              <w:rPr>
                <w:i/>
                <w:color w:val="000000"/>
                <w:sz w:val="20"/>
                <w:szCs w:val="20"/>
              </w:rPr>
            </w:pPr>
            <w:r w:rsidRPr="00090E3A">
              <w:rPr>
                <w:i/>
                <w:color w:val="000000"/>
                <w:sz w:val="20"/>
                <w:szCs w:val="20"/>
              </w:rPr>
              <w:t>0.177</w:t>
            </w:r>
          </w:p>
        </w:tc>
        <w:tc>
          <w:tcPr>
            <w:tcW w:w="1742" w:type="dxa"/>
            <w:tcBorders>
              <w:top w:val="nil"/>
              <w:left w:val="single" w:sz="4" w:space="0" w:color="auto"/>
              <w:bottom w:val="nil"/>
              <w:right w:val="nil"/>
            </w:tcBorders>
            <w:shd w:val="clear" w:color="auto" w:fill="auto"/>
            <w:noWrap/>
            <w:vAlign w:val="center"/>
            <w:hideMark/>
          </w:tcPr>
          <w:p w14:paraId="2476A15E" w14:textId="77777777" w:rsidR="00847F65" w:rsidRPr="00090E3A" w:rsidRDefault="00847F65" w:rsidP="00090E3A">
            <w:pPr>
              <w:jc w:val="center"/>
              <w:rPr>
                <w:i/>
                <w:color w:val="000000"/>
                <w:sz w:val="20"/>
                <w:szCs w:val="20"/>
              </w:rPr>
            </w:pPr>
            <w:r w:rsidRPr="00090E3A">
              <w:rPr>
                <w:i/>
                <w:color w:val="000000"/>
                <w:sz w:val="20"/>
                <w:szCs w:val="20"/>
              </w:rPr>
              <w:t>0.191</w:t>
            </w:r>
          </w:p>
        </w:tc>
        <w:tc>
          <w:tcPr>
            <w:tcW w:w="1407" w:type="dxa"/>
            <w:tcBorders>
              <w:top w:val="nil"/>
              <w:left w:val="nil"/>
              <w:bottom w:val="nil"/>
              <w:right w:val="nil"/>
            </w:tcBorders>
            <w:shd w:val="clear" w:color="auto" w:fill="auto"/>
            <w:noWrap/>
            <w:vAlign w:val="center"/>
            <w:hideMark/>
          </w:tcPr>
          <w:p w14:paraId="761958E7" w14:textId="77777777" w:rsidR="00847F65" w:rsidRPr="00090E3A" w:rsidRDefault="00847F65" w:rsidP="00090E3A">
            <w:pPr>
              <w:jc w:val="center"/>
              <w:rPr>
                <w:i/>
                <w:color w:val="000000"/>
                <w:sz w:val="20"/>
                <w:szCs w:val="20"/>
              </w:rPr>
            </w:pPr>
            <w:r w:rsidRPr="00090E3A">
              <w:rPr>
                <w:i/>
                <w:color w:val="000000"/>
                <w:sz w:val="20"/>
                <w:szCs w:val="20"/>
              </w:rPr>
              <w:t>0.172</w:t>
            </w:r>
          </w:p>
        </w:tc>
      </w:tr>
      <w:tr w:rsidR="00847F65" w:rsidRPr="00847F65" w14:paraId="23DE95E7" w14:textId="77777777" w:rsidTr="005E2B4C">
        <w:trPr>
          <w:trHeight w:val="300"/>
        </w:trPr>
        <w:tc>
          <w:tcPr>
            <w:tcW w:w="2142" w:type="dxa"/>
            <w:tcBorders>
              <w:top w:val="nil"/>
              <w:left w:val="nil"/>
              <w:bottom w:val="nil"/>
              <w:right w:val="nil"/>
            </w:tcBorders>
            <w:shd w:val="clear" w:color="auto" w:fill="auto"/>
            <w:noWrap/>
            <w:vAlign w:val="center"/>
            <w:hideMark/>
          </w:tcPr>
          <w:p w14:paraId="254E0DF9" w14:textId="77777777" w:rsidR="00847F65" w:rsidRPr="00090E3A" w:rsidRDefault="00847F65" w:rsidP="005E2B4C">
            <w:pPr>
              <w:rPr>
                <w:i/>
                <w:color w:val="000000"/>
                <w:sz w:val="20"/>
                <w:szCs w:val="20"/>
              </w:rPr>
            </w:pPr>
            <w:r w:rsidRPr="00090E3A">
              <w:rPr>
                <w:i/>
                <w:color w:val="000000"/>
                <w:sz w:val="20"/>
                <w:szCs w:val="20"/>
              </w:rPr>
              <w:t>FE</w:t>
            </w:r>
          </w:p>
        </w:tc>
        <w:tc>
          <w:tcPr>
            <w:tcW w:w="1742" w:type="dxa"/>
            <w:tcBorders>
              <w:top w:val="nil"/>
              <w:left w:val="nil"/>
              <w:bottom w:val="nil"/>
              <w:right w:val="nil"/>
            </w:tcBorders>
            <w:shd w:val="clear" w:color="auto" w:fill="auto"/>
            <w:noWrap/>
            <w:vAlign w:val="center"/>
            <w:hideMark/>
          </w:tcPr>
          <w:p w14:paraId="3E7ACDF1" w14:textId="77777777" w:rsidR="00847F65" w:rsidRPr="00090E3A" w:rsidRDefault="00847F65" w:rsidP="00090E3A">
            <w:pPr>
              <w:jc w:val="center"/>
              <w:rPr>
                <w:i/>
                <w:color w:val="000000"/>
                <w:sz w:val="20"/>
                <w:szCs w:val="20"/>
              </w:rPr>
            </w:pPr>
            <w:r w:rsidRPr="00090E3A">
              <w:rPr>
                <w:i/>
                <w:color w:val="000000"/>
                <w:sz w:val="20"/>
                <w:szCs w:val="20"/>
              </w:rPr>
              <w:t>it,jt,kt</w:t>
            </w:r>
          </w:p>
        </w:tc>
        <w:tc>
          <w:tcPr>
            <w:tcW w:w="1742" w:type="dxa"/>
            <w:tcBorders>
              <w:top w:val="nil"/>
              <w:left w:val="nil"/>
              <w:bottom w:val="nil"/>
              <w:right w:val="nil"/>
            </w:tcBorders>
            <w:shd w:val="clear" w:color="auto" w:fill="auto"/>
            <w:noWrap/>
            <w:vAlign w:val="center"/>
            <w:hideMark/>
          </w:tcPr>
          <w:p w14:paraId="083B7125" w14:textId="77777777" w:rsidR="00847F65" w:rsidRPr="00090E3A" w:rsidRDefault="00847F65" w:rsidP="00090E3A">
            <w:pPr>
              <w:jc w:val="center"/>
              <w:rPr>
                <w:i/>
                <w:color w:val="000000"/>
                <w:sz w:val="20"/>
                <w:szCs w:val="20"/>
              </w:rPr>
            </w:pPr>
            <w:r w:rsidRPr="00090E3A">
              <w:rPr>
                <w:i/>
                <w:color w:val="000000"/>
                <w:sz w:val="20"/>
                <w:szCs w:val="20"/>
              </w:rPr>
              <w:t>it,jt,kt</w:t>
            </w:r>
          </w:p>
        </w:tc>
        <w:tc>
          <w:tcPr>
            <w:tcW w:w="1415" w:type="dxa"/>
            <w:tcBorders>
              <w:top w:val="nil"/>
              <w:left w:val="nil"/>
              <w:bottom w:val="nil"/>
              <w:right w:val="nil"/>
            </w:tcBorders>
            <w:shd w:val="clear" w:color="auto" w:fill="auto"/>
            <w:noWrap/>
            <w:vAlign w:val="center"/>
            <w:hideMark/>
          </w:tcPr>
          <w:p w14:paraId="6B703CB4" w14:textId="77777777" w:rsidR="00847F65" w:rsidRPr="00090E3A" w:rsidRDefault="00847F65" w:rsidP="00090E3A">
            <w:pPr>
              <w:jc w:val="center"/>
              <w:rPr>
                <w:i/>
                <w:color w:val="000000"/>
                <w:sz w:val="20"/>
                <w:szCs w:val="20"/>
              </w:rPr>
            </w:pPr>
            <w:r w:rsidRPr="00090E3A">
              <w:rPr>
                <w:i/>
                <w:color w:val="000000"/>
                <w:sz w:val="20"/>
                <w:szCs w:val="20"/>
              </w:rPr>
              <w:t>it,jt,kt</w:t>
            </w:r>
          </w:p>
        </w:tc>
        <w:tc>
          <w:tcPr>
            <w:tcW w:w="1742" w:type="dxa"/>
            <w:tcBorders>
              <w:top w:val="nil"/>
              <w:left w:val="single" w:sz="4" w:space="0" w:color="auto"/>
              <w:bottom w:val="nil"/>
              <w:right w:val="nil"/>
            </w:tcBorders>
            <w:shd w:val="clear" w:color="auto" w:fill="auto"/>
            <w:noWrap/>
            <w:vAlign w:val="center"/>
            <w:hideMark/>
          </w:tcPr>
          <w:p w14:paraId="4BD5C24C" w14:textId="77777777" w:rsidR="00847F65" w:rsidRPr="00090E3A" w:rsidRDefault="00847F65" w:rsidP="00090E3A">
            <w:pPr>
              <w:jc w:val="center"/>
              <w:rPr>
                <w:i/>
                <w:color w:val="000000"/>
                <w:sz w:val="20"/>
                <w:szCs w:val="20"/>
              </w:rPr>
            </w:pPr>
            <w:r w:rsidRPr="00090E3A">
              <w:rPr>
                <w:i/>
                <w:color w:val="000000"/>
                <w:sz w:val="20"/>
                <w:szCs w:val="20"/>
              </w:rPr>
              <w:t>it,jt,kt</w:t>
            </w:r>
          </w:p>
        </w:tc>
        <w:tc>
          <w:tcPr>
            <w:tcW w:w="1407" w:type="dxa"/>
            <w:tcBorders>
              <w:top w:val="nil"/>
              <w:left w:val="nil"/>
              <w:bottom w:val="nil"/>
              <w:right w:val="nil"/>
            </w:tcBorders>
            <w:shd w:val="clear" w:color="auto" w:fill="auto"/>
            <w:noWrap/>
            <w:vAlign w:val="center"/>
            <w:hideMark/>
          </w:tcPr>
          <w:p w14:paraId="628BAFA7" w14:textId="77777777" w:rsidR="00847F65" w:rsidRPr="00090E3A" w:rsidRDefault="00847F65" w:rsidP="00090E3A">
            <w:pPr>
              <w:jc w:val="center"/>
              <w:rPr>
                <w:i/>
                <w:color w:val="000000"/>
                <w:sz w:val="20"/>
                <w:szCs w:val="20"/>
              </w:rPr>
            </w:pPr>
            <w:r w:rsidRPr="00090E3A">
              <w:rPr>
                <w:i/>
                <w:color w:val="000000"/>
                <w:sz w:val="20"/>
                <w:szCs w:val="20"/>
              </w:rPr>
              <w:t>it,jt,kt</w:t>
            </w:r>
          </w:p>
        </w:tc>
      </w:tr>
      <w:tr w:rsidR="00847F65" w:rsidRPr="00847F65" w14:paraId="18EFD0C7" w14:textId="77777777" w:rsidTr="005E2B4C">
        <w:trPr>
          <w:trHeight w:val="320"/>
        </w:trPr>
        <w:tc>
          <w:tcPr>
            <w:tcW w:w="2142" w:type="dxa"/>
            <w:tcBorders>
              <w:top w:val="nil"/>
              <w:left w:val="nil"/>
              <w:bottom w:val="double" w:sz="6" w:space="0" w:color="auto"/>
              <w:right w:val="nil"/>
            </w:tcBorders>
            <w:shd w:val="clear" w:color="auto" w:fill="auto"/>
            <w:noWrap/>
            <w:vAlign w:val="center"/>
            <w:hideMark/>
          </w:tcPr>
          <w:p w14:paraId="2D29788A" w14:textId="77777777" w:rsidR="00847F65" w:rsidRPr="00090E3A" w:rsidRDefault="00090E3A" w:rsidP="005E2B4C">
            <w:pPr>
              <w:rPr>
                <w:i/>
                <w:color w:val="000000"/>
                <w:sz w:val="20"/>
                <w:szCs w:val="20"/>
              </w:rPr>
            </w:pPr>
            <m:oMathPara>
              <m:oMathParaPr>
                <m:jc m:val="left"/>
              </m:oMathParaPr>
              <m:oMath>
                <m:r>
                  <w:rPr>
                    <w:rFonts w:ascii="Cambria Math" w:hAnsi="Cambria Math"/>
                    <w:color w:val="000000"/>
                    <w:sz w:val="20"/>
                    <w:szCs w:val="20"/>
                  </w:rPr>
                  <m:t>Total AT</m:t>
                </m:r>
                <m:sSup>
                  <m:sSupPr>
                    <m:ctrlPr>
                      <w:rPr>
                        <w:rFonts w:ascii="Cambria Math" w:hAnsi="Cambria Math"/>
                        <w:i/>
                        <w:color w:val="000000"/>
                        <w:sz w:val="20"/>
                        <w:szCs w:val="20"/>
                      </w:rPr>
                    </m:ctrlPr>
                  </m:sSupPr>
                  <m:e>
                    <m:r>
                      <w:rPr>
                        <w:rFonts w:ascii="Cambria Math" w:hAnsi="Cambria Math"/>
                        <w:color w:val="000000"/>
                        <w:sz w:val="20"/>
                        <w:szCs w:val="20"/>
                      </w:rPr>
                      <m:t>E</m:t>
                    </m:r>
                  </m:e>
                  <m:sup>
                    <m:r>
                      <w:rPr>
                        <w:rFonts w:ascii="Cambria Math" w:hAnsi="Cambria Math"/>
                        <w:color w:val="000000"/>
                        <w:sz w:val="20"/>
                        <w:szCs w:val="20"/>
                      </w:rPr>
                      <m:t>a</m:t>
                    </m:r>
                  </m:sup>
                </m:sSup>
              </m:oMath>
            </m:oMathPara>
          </w:p>
        </w:tc>
        <w:tc>
          <w:tcPr>
            <w:tcW w:w="1742" w:type="dxa"/>
            <w:tcBorders>
              <w:top w:val="nil"/>
              <w:left w:val="nil"/>
              <w:bottom w:val="double" w:sz="6" w:space="0" w:color="auto"/>
              <w:right w:val="nil"/>
            </w:tcBorders>
            <w:shd w:val="clear" w:color="auto" w:fill="auto"/>
            <w:noWrap/>
            <w:vAlign w:val="center"/>
            <w:hideMark/>
          </w:tcPr>
          <w:p w14:paraId="2B0213C3" w14:textId="77777777" w:rsidR="00847F65" w:rsidRPr="00090E3A" w:rsidRDefault="00847F65" w:rsidP="00090E3A">
            <w:pPr>
              <w:jc w:val="center"/>
              <w:rPr>
                <w:i/>
                <w:color w:val="000000"/>
                <w:sz w:val="20"/>
                <w:szCs w:val="20"/>
              </w:rPr>
            </w:pPr>
            <w:r w:rsidRPr="00090E3A">
              <w:rPr>
                <w:i/>
                <w:color w:val="000000"/>
                <w:sz w:val="20"/>
                <w:szCs w:val="20"/>
              </w:rPr>
              <w:t>292%</w:t>
            </w:r>
          </w:p>
        </w:tc>
        <w:tc>
          <w:tcPr>
            <w:tcW w:w="1742" w:type="dxa"/>
            <w:tcBorders>
              <w:top w:val="nil"/>
              <w:left w:val="nil"/>
              <w:bottom w:val="double" w:sz="6" w:space="0" w:color="auto"/>
              <w:right w:val="nil"/>
            </w:tcBorders>
            <w:shd w:val="clear" w:color="auto" w:fill="auto"/>
            <w:noWrap/>
            <w:vAlign w:val="center"/>
            <w:hideMark/>
          </w:tcPr>
          <w:p w14:paraId="09BCDA36" w14:textId="77777777" w:rsidR="00847F65" w:rsidRPr="00090E3A" w:rsidRDefault="00847F65" w:rsidP="00090E3A">
            <w:pPr>
              <w:jc w:val="center"/>
              <w:rPr>
                <w:i/>
                <w:color w:val="000000"/>
                <w:sz w:val="20"/>
                <w:szCs w:val="20"/>
              </w:rPr>
            </w:pPr>
            <w:r w:rsidRPr="00090E3A">
              <w:rPr>
                <w:i/>
                <w:color w:val="000000"/>
                <w:sz w:val="20"/>
                <w:szCs w:val="20"/>
              </w:rPr>
              <w:t>319%</w:t>
            </w:r>
          </w:p>
        </w:tc>
        <w:tc>
          <w:tcPr>
            <w:tcW w:w="1415" w:type="dxa"/>
            <w:tcBorders>
              <w:top w:val="nil"/>
              <w:left w:val="nil"/>
              <w:bottom w:val="double" w:sz="6" w:space="0" w:color="auto"/>
              <w:right w:val="nil"/>
            </w:tcBorders>
            <w:shd w:val="clear" w:color="auto" w:fill="auto"/>
            <w:noWrap/>
            <w:vAlign w:val="center"/>
            <w:hideMark/>
          </w:tcPr>
          <w:p w14:paraId="2D0C1033" w14:textId="77777777" w:rsidR="00847F65" w:rsidRPr="00090E3A" w:rsidRDefault="00847F65" w:rsidP="00090E3A">
            <w:pPr>
              <w:jc w:val="center"/>
              <w:rPr>
                <w:i/>
                <w:color w:val="000000"/>
                <w:sz w:val="20"/>
                <w:szCs w:val="20"/>
              </w:rPr>
            </w:pPr>
            <w:r w:rsidRPr="00090E3A">
              <w:rPr>
                <w:i/>
                <w:color w:val="000000"/>
                <w:sz w:val="20"/>
                <w:szCs w:val="20"/>
              </w:rPr>
              <w:t>311%</w:t>
            </w:r>
          </w:p>
        </w:tc>
        <w:tc>
          <w:tcPr>
            <w:tcW w:w="1742" w:type="dxa"/>
            <w:tcBorders>
              <w:top w:val="nil"/>
              <w:left w:val="single" w:sz="4" w:space="0" w:color="auto"/>
              <w:bottom w:val="double" w:sz="6" w:space="0" w:color="auto"/>
              <w:right w:val="nil"/>
            </w:tcBorders>
            <w:shd w:val="clear" w:color="auto" w:fill="auto"/>
            <w:noWrap/>
            <w:vAlign w:val="center"/>
            <w:hideMark/>
          </w:tcPr>
          <w:p w14:paraId="42D6526A" w14:textId="77777777" w:rsidR="00847F65" w:rsidRPr="00090E3A" w:rsidRDefault="00847F65" w:rsidP="00090E3A">
            <w:pPr>
              <w:jc w:val="center"/>
              <w:rPr>
                <w:i/>
                <w:color w:val="000000"/>
                <w:sz w:val="20"/>
                <w:szCs w:val="20"/>
              </w:rPr>
            </w:pPr>
            <w:r w:rsidRPr="00090E3A">
              <w:rPr>
                <w:i/>
                <w:color w:val="000000"/>
                <w:sz w:val="20"/>
                <w:szCs w:val="20"/>
              </w:rPr>
              <w:t>352%</w:t>
            </w:r>
          </w:p>
        </w:tc>
        <w:tc>
          <w:tcPr>
            <w:tcW w:w="1407" w:type="dxa"/>
            <w:tcBorders>
              <w:top w:val="nil"/>
              <w:left w:val="nil"/>
              <w:bottom w:val="double" w:sz="6" w:space="0" w:color="auto"/>
              <w:right w:val="nil"/>
            </w:tcBorders>
            <w:shd w:val="clear" w:color="auto" w:fill="auto"/>
            <w:noWrap/>
            <w:vAlign w:val="center"/>
            <w:hideMark/>
          </w:tcPr>
          <w:p w14:paraId="332476D6" w14:textId="77777777" w:rsidR="00847F65" w:rsidRPr="00090E3A" w:rsidRDefault="00847F65" w:rsidP="00090E3A">
            <w:pPr>
              <w:jc w:val="center"/>
              <w:rPr>
                <w:i/>
                <w:color w:val="000000"/>
                <w:sz w:val="20"/>
                <w:szCs w:val="20"/>
              </w:rPr>
            </w:pPr>
            <w:r w:rsidRPr="00090E3A">
              <w:rPr>
                <w:i/>
                <w:color w:val="000000"/>
                <w:sz w:val="20"/>
                <w:szCs w:val="20"/>
              </w:rPr>
              <w:t>340%</w:t>
            </w:r>
          </w:p>
        </w:tc>
      </w:tr>
    </w:tbl>
    <w:p w14:paraId="43291E63" w14:textId="77777777" w:rsidR="00847F65" w:rsidRPr="00090E3A" w:rsidRDefault="00847F65" w:rsidP="00847F65">
      <w:pPr>
        <w:rPr>
          <w:rFonts w:ascii="Times" w:eastAsiaTheme="minorHAnsi" w:hAnsi="Times"/>
          <w:i/>
          <w:sz w:val="22"/>
          <w:szCs w:val="20"/>
        </w:rPr>
      </w:pPr>
      <w:r w:rsidRPr="00090E3A">
        <w:rPr>
          <w:rFonts w:ascii="Times" w:eastAsiaTheme="minorHAnsi" w:hAnsi="Times"/>
          <w:i/>
          <w:sz w:val="22"/>
          <w:szCs w:val="20"/>
        </w:rPr>
        <w:t>Standard errors in parentheses</w:t>
      </w:r>
    </w:p>
    <w:p w14:paraId="1B7F895E" w14:textId="77777777" w:rsidR="00847F65" w:rsidRPr="00090E3A" w:rsidRDefault="00847F65" w:rsidP="00847F65">
      <w:pPr>
        <w:rPr>
          <w:rFonts w:ascii="Times" w:eastAsiaTheme="minorHAnsi" w:hAnsi="Times"/>
          <w:i/>
          <w:sz w:val="22"/>
          <w:szCs w:val="20"/>
        </w:rPr>
      </w:pPr>
      <w:r w:rsidRPr="00090E3A">
        <w:rPr>
          <w:rFonts w:ascii="Times" w:eastAsiaTheme="minorHAnsi" w:hAnsi="Times"/>
          <w:i/>
          <w:sz w:val="22"/>
          <w:szCs w:val="20"/>
        </w:rPr>
        <w:t>* p&lt;0.05, ** p&lt;0.01,  *** p&lt;0.001</w:t>
      </w:r>
    </w:p>
    <w:p w14:paraId="06C5A6FB" w14:textId="77777777" w:rsidR="00847F65" w:rsidRPr="00090E3A" w:rsidRDefault="00090E3A" w:rsidP="00847F65">
      <w:pPr>
        <w:rPr>
          <w:rFonts w:ascii="Times" w:eastAsiaTheme="minorHAnsi" w:hAnsi="Times"/>
          <w:i/>
          <w:sz w:val="22"/>
          <w:szCs w:val="20"/>
        </w:rPr>
      </w:pPr>
      <m:oMath>
        <m:r>
          <w:rPr>
            <w:rFonts w:ascii="Cambria Math" w:eastAsiaTheme="minorHAnsi" w:hAnsi="Cambria Math"/>
            <w:sz w:val="22"/>
            <w:szCs w:val="20"/>
          </w:rPr>
          <m:t xml:space="preserve">a </m:t>
        </m:r>
      </m:oMath>
      <w:r w:rsidR="00847F65" w:rsidRPr="00090E3A">
        <w:rPr>
          <w:rFonts w:ascii="Times" w:eastAsiaTheme="minorHAnsi" w:hAnsi="Times"/>
          <w:i/>
          <w:sz w:val="22"/>
          <w:szCs w:val="20"/>
        </w:rPr>
        <w:t>Total ATE is the sum of statistically significant container estimates.</w:t>
      </w:r>
    </w:p>
    <w:p w14:paraId="67A397C4" w14:textId="77777777" w:rsidR="00090E3A" w:rsidRPr="00090E3A" w:rsidRDefault="00090E3A" w:rsidP="00847F65">
      <w:pPr>
        <w:rPr>
          <w:rFonts w:ascii="Times" w:eastAsiaTheme="minorHAnsi" w:hAnsi="Times"/>
          <w:i/>
          <w:sz w:val="22"/>
          <w:szCs w:val="20"/>
        </w:rPr>
      </w:pPr>
      <w:r w:rsidRPr="00090E3A">
        <w:rPr>
          <w:rFonts w:ascii="Times" w:eastAsiaTheme="minorHAnsi" w:hAnsi="Times"/>
          <w:i/>
          <w:sz w:val="22"/>
          <w:szCs w:val="20"/>
        </w:rPr>
        <w:t>i denotes origin country, j destination country and t denotes time</w:t>
      </w:r>
    </w:p>
    <w:p w14:paraId="0A0216F8" w14:textId="77777777" w:rsidR="005F1642" w:rsidRDefault="005F1642" w:rsidP="00347951"/>
    <w:p w14:paraId="0D37D6A1" w14:textId="77777777" w:rsidR="005F1642" w:rsidRDefault="005F1642" w:rsidP="00347951"/>
    <w:p w14:paraId="32318A3F" w14:textId="77777777" w:rsidR="00184E80" w:rsidRDefault="00BF5A7E" w:rsidP="00DE6465">
      <w:pPr>
        <w:spacing w:line="360" w:lineRule="auto"/>
        <w:ind w:firstLine="720"/>
        <w:jc w:val="both"/>
      </w:pPr>
      <w:r>
        <w:t>A key objective of our paper is to examine the causal effects of containerization on international trade. Our historical narrative and discussion in section 3.1 have suggested if not randomness but an element of serendipity in the determination of our container variable (</w:t>
      </w:r>
      <w:r w:rsidR="000D70E8">
        <w:t>3</w:t>
      </w:r>
      <w:r>
        <w:t xml:space="preserve">). The panel nature of our data puts us in a position to formally test for strict exogeneity of our technology variable. </w:t>
      </w:r>
      <w:r w:rsidR="00261EFF">
        <w:t xml:space="preserve">Following the advice of </w:t>
      </w:r>
      <w:r w:rsidR="000213BB">
        <w:t>Wooldridge</w:t>
      </w:r>
      <w:r w:rsidR="00261EFF">
        <w:t xml:space="preserve"> (2002, p. 285), we add a future change of </w:t>
      </w:r>
      <w:r w:rsidR="00261EFF" w:rsidRPr="00261EFF">
        <w:rPr>
          <w:i/>
        </w:rPr>
        <w:t>fullcont</w:t>
      </w:r>
      <w:r w:rsidR="00261EFF">
        <w:t xml:space="preserve"> in our regression equation (5). </w:t>
      </w:r>
      <w:r w:rsidR="00DE6465">
        <w:t xml:space="preserve">The size and statistical significance of this variable can be viewed as a </w:t>
      </w:r>
      <w:r w:rsidR="00184E80">
        <w:t>falsification test for whether the container variable captures the effect of the introduction of this new transportation technology rather than any trend to bilateral trade that was also present prior to the adoption of containerization</w:t>
      </w:r>
      <w:r w:rsidR="00184E80" w:rsidRPr="000778EB">
        <w:t xml:space="preserve">. </w:t>
      </w:r>
      <w:r w:rsidR="000D70E8">
        <w:t xml:space="preserve"> </w:t>
      </w:r>
      <w:r w:rsidR="00184E80" w:rsidRPr="000778EB">
        <w:t xml:space="preserve">If the effect captured by the </w:t>
      </w:r>
      <w:r w:rsidR="00184E80">
        <w:t xml:space="preserve">container dummy </w:t>
      </w:r>
      <w:r w:rsidR="00184E80" w:rsidRPr="000778EB">
        <w:t>were simply related to trends</w:t>
      </w:r>
      <w:r w:rsidR="00184E80">
        <w:t xml:space="preserve"> already present in trade between that country-pair</w:t>
      </w:r>
      <w:r w:rsidR="00184E80" w:rsidRPr="000778EB">
        <w:t xml:space="preserve">, we would expect the coefficient on years prior to the </w:t>
      </w:r>
      <w:r w:rsidR="00184E80">
        <w:t xml:space="preserve">adoption of the container </w:t>
      </w:r>
      <w:r w:rsidR="00184E80" w:rsidRPr="000778EB">
        <w:t>to be as large and significant as the coefficient on our variable of interest.</w:t>
      </w:r>
    </w:p>
    <w:p w14:paraId="31916FB9" w14:textId="77777777" w:rsidR="006A00B7" w:rsidRDefault="00B6595A" w:rsidP="006A00B7">
      <w:pPr>
        <w:spacing w:line="360" w:lineRule="auto"/>
        <w:ind w:firstLine="720"/>
        <w:jc w:val="both"/>
      </w:pPr>
      <w:r>
        <w:t>Specification (</w:t>
      </w:r>
      <w:r w:rsidR="00A47C90">
        <w:t>2</w:t>
      </w:r>
      <w:r>
        <w:t>) includes a pre-treatment variable</w:t>
      </w:r>
      <w:r w:rsidR="00164612">
        <w:t xml:space="preserve"> on </w:t>
      </w:r>
      <w:r w:rsidR="00164612" w:rsidRPr="00164612">
        <w:rPr>
          <w:i/>
        </w:rPr>
        <w:t>fullcont</w:t>
      </w:r>
      <w:r w:rsidR="00164612">
        <w:t xml:space="preserve"> </w:t>
      </w:r>
      <w:r>
        <w:t>and the other bilateral co-variates</w:t>
      </w:r>
      <w:r w:rsidR="00164612">
        <w:t xml:space="preserve"> </w:t>
      </w:r>
      <w:r w:rsidR="00180D2C">
        <w:rPr>
          <w:i/>
        </w:rPr>
        <w:t>f</w:t>
      </w:r>
      <w:r w:rsidR="00164612" w:rsidRPr="00164612">
        <w:rPr>
          <w:i/>
        </w:rPr>
        <w:t>ta</w:t>
      </w:r>
      <w:r w:rsidR="00164612">
        <w:t xml:space="preserve"> and </w:t>
      </w:r>
      <w:r w:rsidR="00164612" w:rsidRPr="00164612">
        <w:rPr>
          <w:i/>
        </w:rPr>
        <w:t>GATT</w:t>
      </w:r>
      <w:r>
        <w:t>.</w:t>
      </w:r>
      <w:r w:rsidR="00164612">
        <w:t xml:space="preserve"> </w:t>
      </w:r>
      <w:r w:rsidR="00C619CF">
        <w:t xml:space="preserve"> Since t</w:t>
      </w:r>
      <w:r w:rsidR="00164612">
        <w:t>he coefficient o</w:t>
      </w:r>
      <w:r w:rsidR="00C73062">
        <w:t>f</w:t>
      </w:r>
      <w:r w:rsidR="00164612">
        <w:t xml:space="preserve"> </w:t>
      </w:r>
      <w:r w:rsidR="00164612" w:rsidRPr="001B7715">
        <w:rPr>
          <w:i/>
        </w:rPr>
        <w:t>Δfullcont</w:t>
      </w:r>
      <w:r w:rsidR="00C619CF" w:rsidRPr="001B7715">
        <w:rPr>
          <w:i/>
          <w:vertAlign w:val="subscript"/>
        </w:rPr>
        <w:t>ij,t+1</w:t>
      </w:r>
      <w:r w:rsidR="00C619CF">
        <w:rPr>
          <w:vertAlign w:val="subscript"/>
        </w:rPr>
        <w:t xml:space="preserve"> </w:t>
      </w:r>
      <w:r w:rsidR="00C619CF">
        <w:t>is</w:t>
      </w:r>
      <w:r w:rsidR="00C73062">
        <w:t xml:space="preserve"> both statistically insignificant and </w:t>
      </w:r>
      <w:r w:rsidR="00C73062">
        <w:lastRenderedPageBreak/>
        <w:t xml:space="preserve">also </w:t>
      </w:r>
      <w:r w:rsidR="00C619CF">
        <w:t>very small (0.0454) compared to</w:t>
      </w:r>
      <w:r w:rsidR="00C73062">
        <w:t xml:space="preserve"> the coefficient of </w:t>
      </w:r>
      <w:r w:rsidR="00C619CF">
        <w:t xml:space="preserve"> </w:t>
      </w:r>
      <w:r w:rsidR="00C619CF" w:rsidRPr="001B7715">
        <w:rPr>
          <w:i/>
        </w:rPr>
        <w:t>Δfullcont</w:t>
      </w:r>
      <w:r w:rsidR="00C619CF" w:rsidRPr="001B7715">
        <w:rPr>
          <w:i/>
          <w:vertAlign w:val="subscript"/>
        </w:rPr>
        <w:t>ij,t</w:t>
      </w:r>
      <w:r w:rsidR="00C619CF">
        <w:t xml:space="preserve"> and the other three </w:t>
      </w:r>
      <w:r w:rsidR="00C73062">
        <w:t xml:space="preserve">lagged variables </w:t>
      </w:r>
      <w:r w:rsidR="00C619CF">
        <w:t xml:space="preserve">suggests </w:t>
      </w:r>
      <w:r w:rsidR="00C73062">
        <w:t>that our estimates provide strong evidence of a causal effect of containerization</w:t>
      </w:r>
      <w:r w:rsidR="001B7715">
        <w:t xml:space="preserve"> in the North-North sample</w:t>
      </w:r>
      <w:r w:rsidR="00C73062">
        <w:t xml:space="preserve">.  </w:t>
      </w:r>
      <w:r w:rsidR="005945D7">
        <w:t xml:space="preserve">In comparison, </w:t>
      </w:r>
      <w:r w:rsidR="00C73062">
        <w:t>the coefficient o</w:t>
      </w:r>
      <w:r w:rsidR="004B179A">
        <w:t>f the pre-treatment variable</w:t>
      </w:r>
      <w:r w:rsidR="00C73062">
        <w:t xml:space="preserve"> </w:t>
      </w:r>
      <w:r w:rsidR="001B7715" w:rsidRPr="001B7715">
        <w:rPr>
          <w:i/>
        </w:rPr>
        <w:t>Δf</w:t>
      </w:r>
      <w:r w:rsidR="004B179A" w:rsidRPr="001B7715">
        <w:rPr>
          <w:i/>
        </w:rPr>
        <w:t>ta</w:t>
      </w:r>
      <w:r w:rsidR="004B179A" w:rsidRPr="001B7715">
        <w:rPr>
          <w:i/>
          <w:vertAlign w:val="subscript"/>
        </w:rPr>
        <w:t>ij,t+1</w:t>
      </w:r>
      <w:r w:rsidR="00C619CF">
        <w:t xml:space="preserve"> </w:t>
      </w:r>
      <w:r w:rsidR="004B179A">
        <w:t>is both statistically signifi</w:t>
      </w:r>
      <w:r w:rsidR="000D70E8">
        <w:t>cant and estimated to  be 0.087 which</w:t>
      </w:r>
      <w:r w:rsidR="004B179A">
        <w:t xml:space="preserve"> suggests  the presence of anticipation effects of regio</w:t>
      </w:r>
      <w:r w:rsidR="005945D7">
        <w:t xml:space="preserve">nal trade agreements. Although </w:t>
      </w:r>
      <w:r w:rsidR="004B179A">
        <w:t xml:space="preserve">the estimated coefficient of the pre-treatment variable </w:t>
      </w:r>
      <w:r w:rsidR="004B179A" w:rsidRPr="001B7715">
        <w:rPr>
          <w:i/>
        </w:rPr>
        <w:t>ΔGATT</w:t>
      </w:r>
      <w:r w:rsidR="004B179A" w:rsidRPr="001B7715">
        <w:rPr>
          <w:i/>
          <w:vertAlign w:val="subscript"/>
        </w:rPr>
        <w:t>ij,t+1</w:t>
      </w:r>
      <w:r w:rsidR="004B179A">
        <w:t xml:space="preserve"> is relatively large (0.322), it is statistically insignificant.</w:t>
      </w:r>
      <w:r w:rsidR="001B7715">
        <w:t xml:space="preserve"> </w:t>
      </w:r>
      <w:r w:rsidR="004B179A">
        <w:t xml:space="preserve"> </w:t>
      </w:r>
      <w:r w:rsidR="00C619CF">
        <w:rPr>
          <w:vertAlign w:val="subscript"/>
        </w:rPr>
        <w:t xml:space="preserve"> </w:t>
      </w:r>
      <w:r>
        <w:t xml:space="preserve">  </w:t>
      </w:r>
    </w:p>
    <w:p w14:paraId="3377E812" w14:textId="77777777" w:rsidR="00DE6465" w:rsidRPr="00E12A02" w:rsidRDefault="004B179A" w:rsidP="006A00B7">
      <w:pPr>
        <w:spacing w:line="360" w:lineRule="auto"/>
        <w:ind w:firstLine="720"/>
        <w:jc w:val="both"/>
      </w:pPr>
      <w:r>
        <w:t>Specification (</w:t>
      </w:r>
      <w:r w:rsidR="00A47C90">
        <w:t>3</w:t>
      </w:r>
      <w:r>
        <w:t xml:space="preserve">) expands the sample </w:t>
      </w:r>
      <w:r w:rsidR="00E12A02">
        <w:t xml:space="preserve">to all 4-digit industries, which includes now industries that were either not containerizable or only of limited containerizability using the 1968 classification. </w:t>
      </w:r>
      <w:r w:rsidR="00A47C90">
        <w:t xml:space="preserve"> Comparing the estimates in (3) with the estimates in (2</w:t>
      </w:r>
      <w:r w:rsidR="00E12A02">
        <w:t xml:space="preserve">) reveals that most coefficients remain quite stable. The cumulative average treatment effect of </w:t>
      </w:r>
      <w:r w:rsidR="00E12A02" w:rsidRPr="00E12A02">
        <w:rPr>
          <w:i/>
        </w:rPr>
        <w:t>fullcont</w:t>
      </w:r>
      <w:r w:rsidR="00E12A02">
        <w:t xml:space="preserve"> drops from </w:t>
      </w:r>
      <w:r w:rsidR="001477C7">
        <w:t>790% to 6</w:t>
      </w:r>
      <w:r w:rsidR="001B7715">
        <w:t>92</w:t>
      </w:r>
      <w:r w:rsidR="001477C7">
        <w:t xml:space="preserve">% and the continued statistically insignificant and small size (-0.050) of the coefficient of </w:t>
      </w:r>
      <w:r w:rsidR="001477C7" w:rsidRPr="001B7715">
        <w:rPr>
          <w:i/>
        </w:rPr>
        <w:t>Δfullcont</w:t>
      </w:r>
      <w:r w:rsidR="001477C7" w:rsidRPr="001B7715">
        <w:rPr>
          <w:i/>
          <w:vertAlign w:val="subscript"/>
        </w:rPr>
        <w:t>ij,t+1</w:t>
      </w:r>
      <w:r w:rsidR="001477C7">
        <w:t xml:space="preserve"> suggests again a causal interpretation. The difference between the cumulative ATE in (</w:t>
      </w:r>
      <w:r w:rsidR="00B523C3">
        <w:t>2</w:t>
      </w:r>
      <w:r w:rsidR="001477C7">
        <w:t>) and (</w:t>
      </w:r>
      <w:r w:rsidR="00B523C3">
        <w:t>3</w:t>
      </w:r>
      <w:r w:rsidR="001477C7">
        <w:t xml:space="preserve">) </w:t>
      </w:r>
      <w:r w:rsidR="00E12A02">
        <w:t xml:space="preserve">is largely driven by the smaller coefficient </w:t>
      </w:r>
      <w:r w:rsidR="00467821">
        <w:t xml:space="preserve">on the concurrent effect. </w:t>
      </w:r>
      <w:r w:rsidR="00F93E1B">
        <w:t xml:space="preserve"> </w:t>
      </w:r>
      <w:r w:rsidR="001477C7">
        <w:t xml:space="preserve">However, when we </w:t>
      </w:r>
      <w:r w:rsidR="00467821">
        <w:t>conducted a formal test on the effects of product cont</w:t>
      </w:r>
      <w:r w:rsidR="005945D7">
        <w:t>ainer</w:t>
      </w:r>
      <w:r w:rsidR="000213BB">
        <w:t>i</w:t>
      </w:r>
      <w:r w:rsidR="005945D7">
        <w:t xml:space="preserve">zability, we </w:t>
      </w:r>
      <w:r w:rsidR="001477C7">
        <w:t xml:space="preserve">failed to find </w:t>
      </w:r>
      <w:r w:rsidR="00467821">
        <w:t xml:space="preserve">any </w:t>
      </w:r>
      <w:r w:rsidR="00261AFE">
        <w:t>statistically significance</w:t>
      </w:r>
      <w:r w:rsidR="00467821">
        <w:t>.</w:t>
      </w:r>
      <w:r w:rsidR="00F93E1B">
        <w:t xml:space="preserve"> In general, we find these results quite interesting since they can be interpreted that container technology did not only increase trade in intermediate goods (</w:t>
      </w:r>
      <w:r w:rsidR="000213BB">
        <w:t>auto parts</w:t>
      </w:r>
      <w:r w:rsidR="00F93E1B">
        <w:t xml:space="preserve">) but also had complementary effects </w:t>
      </w:r>
      <w:r w:rsidR="005945D7">
        <w:t xml:space="preserve">on </w:t>
      </w:r>
      <w:r w:rsidR="00F93E1B">
        <w:t>trade in goods that are not necessarily containerizable (automobiles).</w:t>
      </w:r>
      <w:r w:rsidR="00AE58F8">
        <w:rPr>
          <w:rStyle w:val="FootnoteReference"/>
        </w:rPr>
        <w:footnoteReference w:id="32"/>
      </w:r>
      <w:r w:rsidR="005945D7">
        <w:t xml:space="preserve"> </w:t>
      </w:r>
    </w:p>
    <w:p w14:paraId="1A0EC88B" w14:textId="77777777" w:rsidR="005F1642" w:rsidRDefault="00AF44A8" w:rsidP="00184E80">
      <w:pPr>
        <w:spacing w:line="360" w:lineRule="auto"/>
        <w:ind w:firstLine="720"/>
        <w:jc w:val="both"/>
      </w:pPr>
      <w:r>
        <w:t xml:space="preserve">Panel B </w:t>
      </w:r>
      <w:r w:rsidR="00040E71">
        <w:t>in Table 2</w:t>
      </w:r>
      <w:r w:rsidR="0001101B">
        <w:t xml:space="preserve"> </w:t>
      </w:r>
      <w:r w:rsidR="003A0CEB">
        <w:t xml:space="preserve">considers the </w:t>
      </w:r>
      <w:r w:rsidR="000213BB">
        <w:t>same specifications</w:t>
      </w:r>
      <w:r>
        <w:t xml:space="preserve"> from Panel A, but applies them to</w:t>
      </w:r>
      <w:r w:rsidR="0001101B">
        <w:t xml:space="preserve"> the port containerization variable (4).</w:t>
      </w:r>
      <w:r w:rsidR="00142FBD">
        <w:t xml:space="preserve"> </w:t>
      </w:r>
      <w:r w:rsidR="004D488B">
        <w:t xml:space="preserve">Because of the similarity in patterns </w:t>
      </w:r>
      <w:r w:rsidR="00EB51D1">
        <w:t>to</w:t>
      </w:r>
      <w:r w:rsidR="004D488B">
        <w:t xml:space="preserve"> Panel A, we only report the coefficients on the </w:t>
      </w:r>
      <w:r w:rsidR="004D488B" w:rsidRPr="004D488B">
        <w:rPr>
          <w:i/>
        </w:rPr>
        <w:t>portcont</w:t>
      </w:r>
      <w:r w:rsidR="004D488B">
        <w:t xml:space="preserve"> variables. A striking feature of the estimates in Panel B is that the </w:t>
      </w:r>
      <w:r w:rsidR="009731BD">
        <w:t>magnitude</w:t>
      </w:r>
      <w:r w:rsidR="000213BB">
        <w:t>s</w:t>
      </w:r>
      <w:r w:rsidR="009731BD">
        <w:t xml:space="preserve"> </w:t>
      </w:r>
      <w:r w:rsidR="004D488B">
        <w:t xml:space="preserve">of the </w:t>
      </w:r>
      <w:r w:rsidR="009731BD">
        <w:t xml:space="preserve">coefficient on the </w:t>
      </w:r>
      <w:r w:rsidR="004D488B">
        <w:t xml:space="preserve">concurrent and lagged </w:t>
      </w:r>
      <w:r w:rsidR="009731BD">
        <w:t xml:space="preserve">coefficients of </w:t>
      </w:r>
      <w:r w:rsidR="009731BD" w:rsidRPr="009731BD">
        <w:rPr>
          <w:i/>
        </w:rPr>
        <w:t>portcont</w:t>
      </w:r>
      <w:r w:rsidR="009731BD">
        <w:t xml:space="preserve"> </w:t>
      </w:r>
      <w:r w:rsidR="000213BB">
        <w:t>are</w:t>
      </w:r>
      <w:r w:rsidR="004D488B">
        <w:t xml:space="preserve"> less than half the size of the</w:t>
      </w:r>
      <w:r w:rsidR="009731BD">
        <w:t xml:space="preserve"> coefficients on </w:t>
      </w:r>
      <w:r w:rsidR="009731BD" w:rsidRPr="009731BD">
        <w:rPr>
          <w:i/>
        </w:rPr>
        <w:t>fullcont</w:t>
      </w:r>
      <w:r w:rsidR="004D488B">
        <w:t>.  Comparing the benchmark specifications (</w:t>
      </w:r>
      <w:r w:rsidR="00B523C3">
        <w:t>1</w:t>
      </w:r>
      <w:r w:rsidR="004D488B">
        <w:t>) in Panel A and B rev</w:t>
      </w:r>
      <w:r w:rsidR="009731BD">
        <w:t>eals that the cumulative average treatment effect now drops from 790% to 292%.  This suggests an important role of intermodality.  Interestingly, specificat</w:t>
      </w:r>
      <w:r w:rsidR="00B523C3">
        <w:t>ion (2</w:t>
      </w:r>
      <w:r w:rsidR="009731BD">
        <w:t>) suggests that the ignorance of railway containerization leads to an economically and statistically significant pre-treatment effect, as the coefficient on</w:t>
      </w:r>
      <w:r w:rsidR="00EB51D1">
        <w:t xml:space="preserve"> </w:t>
      </w:r>
      <w:r w:rsidR="009731BD">
        <w:t xml:space="preserve"> </w:t>
      </w:r>
      <w:r w:rsidR="00727841" w:rsidRPr="003A0CEB">
        <w:rPr>
          <w:i/>
        </w:rPr>
        <w:t>Δportcont</w:t>
      </w:r>
      <w:r w:rsidR="00727841" w:rsidRPr="003A0CEB">
        <w:rPr>
          <w:i/>
          <w:vertAlign w:val="subscript"/>
        </w:rPr>
        <w:t>ij,t+1</w:t>
      </w:r>
      <w:r w:rsidR="00727841">
        <w:rPr>
          <w:vertAlign w:val="subscript"/>
        </w:rPr>
        <w:t xml:space="preserve"> </w:t>
      </w:r>
      <w:r w:rsidR="00727841">
        <w:t>amounts now to 0.217</w:t>
      </w:r>
      <w:r w:rsidR="009731BD">
        <w:t xml:space="preserve"> </w:t>
      </w:r>
      <w:r w:rsidR="00727841">
        <w:t>compared to the estimate of 0.0454 on</w:t>
      </w:r>
      <w:r w:rsidR="009731BD">
        <w:t xml:space="preserve"> </w:t>
      </w:r>
      <w:r w:rsidR="009731BD" w:rsidRPr="003A0CEB">
        <w:rPr>
          <w:i/>
        </w:rPr>
        <w:t>Δfullcont</w:t>
      </w:r>
      <w:r w:rsidR="009731BD" w:rsidRPr="003A0CEB">
        <w:rPr>
          <w:i/>
          <w:vertAlign w:val="subscript"/>
        </w:rPr>
        <w:t>ij,t+1</w:t>
      </w:r>
      <w:r w:rsidR="00727841">
        <w:t xml:space="preserve"> in Panel A. The statistical significance of the pre-treatment variable can be explained by </w:t>
      </w:r>
      <w:r w:rsidR="000213BB" w:rsidRPr="00727841">
        <w:rPr>
          <w:i/>
        </w:rPr>
        <w:t>portcont</w:t>
      </w:r>
      <w:r w:rsidR="000213BB">
        <w:t xml:space="preserve"> attributing</w:t>
      </w:r>
      <w:r w:rsidR="00727841">
        <w:t xml:space="preserve"> a later entrance into the container age for some countries in our sample than the more accurate measure </w:t>
      </w:r>
      <w:r w:rsidR="00727841" w:rsidRPr="00727841">
        <w:rPr>
          <w:i/>
        </w:rPr>
        <w:t>fullcont</w:t>
      </w:r>
      <w:r w:rsidR="00727841">
        <w:t>. Similarly to what we found in Panel A, expanding the sample to all industries in specification (</w:t>
      </w:r>
      <w:r w:rsidR="00B523C3">
        <w:t>3</w:t>
      </w:r>
      <w:r w:rsidR="00727841">
        <w:t xml:space="preserve">) results </w:t>
      </w:r>
      <w:r w:rsidR="008B6C0B">
        <w:t xml:space="preserve">only in small changes of the coefficients. The accumulated </w:t>
      </w:r>
      <w:r w:rsidR="008B6C0B">
        <w:lastRenderedPageBreak/>
        <w:t>ATE drops from 319% to 311% and the coefficient on the pre-treatment variable remains statistically significant, but drops from 0.217 to 0.169.</w:t>
      </w:r>
    </w:p>
    <w:p w14:paraId="44303358" w14:textId="77777777" w:rsidR="000633D3" w:rsidRDefault="00B523C3" w:rsidP="000633D3">
      <w:pPr>
        <w:spacing w:line="360" w:lineRule="auto"/>
        <w:ind w:firstLine="720"/>
        <w:jc w:val="both"/>
      </w:pPr>
      <w:r>
        <w:t>Specifications (4) and (5) give the results on the more balanced panel. This reduces the number of products from 413 to 333 for containerizable products and from 591 to 485 for all products. The results are quite ro</w:t>
      </w:r>
      <w:r w:rsidR="000213BB">
        <w:t>bust and even slightly increase</w:t>
      </w:r>
      <w:r>
        <w:t xml:space="preserve"> the cumulative average treatment effects in all specifications. In Panel B, the coefficient on the pre-treatment variable reduces its statistical significance in spec</w:t>
      </w:r>
      <w:r w:rsidR="001D6271">
        <w:t>ific</w:t>
      </w:r>
      <w:r>
        <w:t>ation</w:t>
      </w:r>
      <w:r w:rsidR="001D6271">
        <w:t xml:space="preserve"> (4) and becomes statistically</w:t>
      </w:r>
      <w:r>
        <w:t xml:space="preserve"> insignificant in specification (5).</w:t>
      </w:r>
      <w:r w:rsidR="008D41D7">
        <w:t xml:space="preserve">  </w:t>
      </w:r>
    </w:p>
    <w:p w14:paraId="082E8F50" w14:textId="77777777" w:rsidR="0040712D" w:rsidRDefault="000213BB" w:rsidP="0040712D">
      <w:pPr>
        <w:spacing w:line="360" w:lineRule="auto"/>
        <w:ind w:firstLine="720"/>
        <w:jc w:val="both"/>
      </w:pPr>
      <w:r>
        <w:t>Table 3 expands the analysis to the world sample of 157 countries; columns (1)-(4) consider the full sample and columns (5)-(8) the more balanced sample</w:t>
      </w:r>
      <w:r w:rsidR="0040712D">
        <w:t>, with the latter defined as in Table 2.</w:t>
      </w:r>
    </w:p>
    <w:p w14:paraId="7D3CA974" w14:textId="77777777" w:rsidR="000213BB" w:rsidRPr="001D6271" w:rsidRDefault="000213BB" w:rsidP="0040712D">
      <w:pPr>
        <w:spacing w:line="360" w:lineRule="auto"/>
        <w:jc w:val="both"/>
      </w:pPr>
      <w:r>
        <w:t>On the country dimension we consider the full world sample and world trade, excluding North-North (i.e. North-South and South-South). The results in column</w:t>
      </w:r>
      <w:r w:rsidR="00E860A7">
        <w:t>s</w:t>
      </w:r>
      <w:r>
        <w:t xml:space="preserve"> (1) and (2) indicate that the cumulative average treatment effects are cut my half in Panel A and by almost a third in Panel B.</w:t>
      </w:r>
      <w:r w:rsidR="0040712D">
        <w:t xml:space="preserve"> </w:t>
      </w:r>
      <w:r w:rsidR="00204BDD">
        <w:t>A comparison of the lagged variables suggests</w:t>
      </w:r>
      <w:r>
        <w:t xml:space="preserve"> that the differences lie in the dynamic effects.  Compare for example, column (3) in Table 2 with </w:t>
      </w:r>
      <w:r w:rsidR="00E860A7">
        <w:t xml:space="preserve">column </w:t>
      </w:r>
      <w:r>
        <w:t xml:space="preserve">(4) in Table 3. The concurrent effects of </w:t>
      </w:r>
      <w:r w:rsidRPr="00BA7632">
        <w:rPr>
          <w:i/>
        </w:rPr>
        <w:t>fullcont</w:t>
      </w:r>
      <w:r>
        <w:t xml:space="preserve"> are quite similar and the concurrent effect</w:t>
      </w:r>
      <w:r w:rsidR="00204BDD">
        <w:t>s</w:t>
      </w:r>
      <w:r>
        <w:t xml:space="preserve"> of </w:t>
      </w:r>
      <w:r w:rsidR="00204BDD" w:rsidRPr="00BA7632">
        <w:rPr>
          <w:i/>
        </w:rPr>
        <w:t>portcont</w:t>
      </w:r>
      <w:r w:rsidR="00204BDD">
        <w:t xml:space="preserve"> are</w:t>
      </w:r>
      <w:r>
        <w:t xml:space="preserve"> even larger in Table 3 than in Table 2.  However, while containerization has still a large effect up to 20 years following its introduction in North-North trade, it drops dramatically </w:t>
      </w:r>
      <w:r w:rsidR="00204BDD">
        <w:t>after five</w:t>
      </w:r>
      <w:r>
        <w:t xml:space="preserve"> to ten years</w:t>
      </w:r>
      <w:r w:rsidR="00A6261F">
        <w:t xml:space="preserve"> </w:t>
      </w:r>
      <w:r>
        <w:t xml:space="preserve">in trade that is not North-North. </w:t>
      </w:r>
      <w:r w:rsidR="007A5468">
        <w:t>As rail networks are less extensive in developing countries, and there are significant cost savings from the integration of port-rail-road transportation above just port-road, t</w:t>
      </w:r>
      <w:r>
        <w:t>h</w:t>
      </w:r>
      <w:r w:rsidR="007A5468">
        <w:t>e</w:t>
      </w:r>
      <w:r>
        <w:t>s</w:t>
      </w:r>
      <w:r w:rsidR="007A5468">
        <w:t>e results might be used to suggest that the adoption of the container technology was less complete outside of the developed countries. Corruption and further institutional weaknesses may serve to further erode the benefits to containerization.</w:t>
      </w:r>
      <w:r>
        <w:t xml:space="preserve"> </w:t>
      </w:r>
      <w:r w:rsidR="007A5468">
        <w:t>A</w:t>
      </w:r>
      <w:r>
        <w:t xml:space="preserve"> formal analysis of this conjecture is beyond the scope of this paper.</w:t>
      </w:r>
    </w:p>
    <w:p w14:paraId="1B3DCC97" w14:textId="77777777" w:rsidR="00A6261F" w:rsidRDefault="00A6261F" w:rsidP="00A6261F">
      <w:pPr>
        <w:spacing w:line="360" w:lineRule="auto"/>
        <w:ind w:firstLine="720"/>
        <w:jc w:val="both"/>
      </w:pPr>
      <w:r>
        <w:t>The presence of a statistically significant pre-treatment effect suggests anticipation effects of containerization when involving developing economies, which were generally later adopters of containerization. How much is due to pure anticipation effects as opposed to pre-existing trends or the effects of partial containerization of a bilateral trade route due to the early adoption by developed countries, is beyond the limits of the information available to us. Interestingly we find now also pre-treatment effects of the GATT.  Because of economically and statistically significant pre-treatment effects, our findings in Table 3 suggest strong correlations between containerization and international, but can’t be interpreted as causal.</w:t>
      </w:r>
    </w:p>
    <w:p w14:paraId="2CDE83AA" w14:textId="77777777" w:rsidR="000213BB" w:rsidRDefault="000213BB" w:rsidP="00B46F8D">
      <w:pPr>
        <w:spacing w:line="360" w:lineRule="auto"/>
        <w:rPr>
          <w:b/>
        </w:rPr>
      </w:pPr>
    </w:p>
    <w:p w14:paraId="6F6DDD2F" w14:textId="77777777" w:rsidR="000213BB" w:rsidRDefault="000213BB" w:rsidP="00B46F8D">
      <w:pPr>
        <w:spacing w:line="360" w:lineRule="auto"/>
        <w:rPr>
          <w:b/>
        </w:rPr>
      </w:pPr>
    </w:p>
    <w:p w14:paraId="64CB3867" w14:textId="77777777" w:rsidR="006A00B7" w:rsidRDefault="006A00B7">
      <w:pPr>
        <w:spacing w:after="200" w:line="276" w:lineRule="auto"/>
        <w:rPr>
          <w:b/>
        </w:rPr>
      </w:pPr>
      <w:r>
        <w:rPr>
          <w:b/>
        </w:rPr>
        <w:br w:type="page"/>
      </w:r>
    </w:p>
    <w:p w14:paraId="633FA9A6" w14:textId="77777777" w:rsidR="00847F65" w:rsidRPr="00EA0743" w:rsidRDefault="00B46F8D" w:rsidP="00090E3A">
      <w:pPr>
        <w:rPr>
          <w:b/>
        </w:rPr>
      </w:pPr>
      <w:r w:rsidRPr="00B46F8D">
        <w:rPr>
          <w:b/>
        </w:rPr>
        <w:lastRenderedPageBreak/>
        <w:t xml:space="preserve">Table </w:t>
      </w:r>
      <w:r w:rsidR="00AF62C9" w:rsidRPr="00B46F8D">
        <w:rPr>
          <w:b/>
        </w:rPr>
        <w:fldChar w:fldCharType="begin"/>
      </w:r>
      <w:r w:rsidRPr="00B46F8D">
        <w:rPr>
          <w:b/>
        </w:rPr>
        <w:instrText xml:space="preserve"> SEQ Table \* ARABIC </w:instrText>
      </w:r>
      <w:r w:rsidR="00AF62C9" w:rsidRPr="00B46F8D">
        <w:rPr>
          <w:b/>
        </w:rPr>
        <w:fldChar w:fldCharType="separate"/>
      </w:r>
      <w:r w:rsidR="00E75E00">
        <w:rPr>
          <w:b/>
          <w:noProof/>
        </w:rPr>
        <w:t>3</w:t>
      </w:r>
      <w:r w:rsidR="00AF62C9" w:rsidRPr="00B46F8D">
        <w:rPr>
          <w:b/>
        </w:rPr>
        <w:fldChar w:fldCharType="end"/>
      </w:r>
      <w:r w:rsidRPr="00B46F8D">
        <w:rPr>
          <w:b/>
        </w:rPr>
        <w:t>: First differenced panel estimates for world trade (with country-time and product-time fixed effects)</w:t>
      </w:r>
      <w:r w:rsidR="00847F65" w:rsidRPr="00847F65">
        <w:rPr>
          <w:b/>
        </w:rPr>
        <w:t xml:space="preserve"> </w:t>
      </w:r>
    </w:p>
    <w:tbl>
      <w:tblPr>
        <w:tblW w:w="0" w:type="auto"/>
        <w:tblLook w:val="04A0" w:firstRow="1" w:lastRow="0" w:firstColumn="1" w:lastColumn="0" w:noHBand="0" w:noVBand="1"/>
      </w:tblPr>
      <w:tblGrid>
        <w:gridCol w:w="1237"/>
        <w:gridCol w:w="1070"/>
        <w:gridCol w:w="1034"/>
        <w:gridCol w:w="1173"/>
        <w:gridCol w:w="1035"/>
        <w:gridCol w:w="1173"/>
        <w:gridCol w:w="1035"/>
        <w:gridCol w:w="1173"/>
        <w:gridCol w:w="1035"/>
      </w:tblGrid>
      <w:tr w:rsidR="00847F65" w:rsidRPr="005E2B4C" w14:paraId="20C6BCE9" w14:textId="77777777" w:rsidTr="006A00B7">
        <w:trPr>
          <w:trHeight w:val="300"/>
        </w:trPr>
        <w:tc>
          <w:tcPr>
            <w:tcW w:w="0" w:type="auto"/>
            <w:tcBorders>
              <w:top w:val="double" w:sz="4" w:space="0" w:color="auto"/>
              <w:left w:val="nil"/>
              <w:bottom w:val="nil"/>
              <w:right w:val="nil"/>
            </w:tcBorders>
            <w:shd w:val="clear" w:color="auto" w:fill="auto"/>
            <w:noWrap/>
            <w:vAlign w:val="center"/>
            <w:hideMark/>
          </w:tcPr>
          <w:p w14:paraId="1C5C242B" w14:textId="77777777" w:rsidR="00847F65" w:rsidRPr="005E2B4C" w:rsidRDefault="00847F65" w:rsidP="00090E3A">
            <w:pPr>
              <w:jc w:val="center"/>
              <w:rPr>
                <w:color w:val="000000"/>
                <w:sz w:val="16"/>
                <w:szCs w:val="16"/>
              </w:rPr>
            </w:pPr>
          </w:p>
        </w:tc>
        <w:tc>
          <w:tcPr>
            <w:tcW w:w="0" w:type="auto"/>
            <w:gridSpan w:val="4"/>
            <w:tcBorders>
              <w:top w:val="double" w:sz="4" w:space="0" w:color="auto"/>
              <w:left w:val="nil"/>
              <w:bottom w:val="nil"/>
              <w:right w:val="nil"/>
            </w:tcBorders>
            <w:shd w:val="clear" w:color="auto" w:fill="auto"/>
            <w:noWrap/>
            <w:vAlign w:val="center"/>
            <w:hideMark/>
          </w:tcPr>
          <w:p w14:paraId="15E43774" w14:textId="77777777" w:rsidR="00847F65" w:rsidRPr="005E2B4C" w:rsidRDefault="00847F65" w:rsidP="00090E3A">
            <w:pPr>
              <w:jc w:val="center"/>
              <w:rPr>
                <w:color w:val="000000"/>
                <w:sz w:val="16"/>
                <w:szCs w:val="16"/>
              </w:rPr>
            </w:pPr>
            <w:r w:rsidRPr="005E2B4C">
              <w:rPr>
                <w:color w:val="000000"/>
                <w:sz w:val="16"/>
                <w:szCs w:val="16"/>
              </w:rPr>
              <w:t>Full sample</w:t>
            </w:r>
          </w:p>
        </w:tc>
        <w:tc>
          <w:tcPr>
            <w:tcW w:w="0" w:type="auto"/>
            <w:gridSpan w:val="4"/>
            <w:tcBorders>
              <w:top w:val="double" w:sz="4" w:space="0" w:color="auto"/>
              <w:left w:val="nil"/>
              <w:bottom w:val="nil"/>
              <w:right w:val="nil"/>
            </w:tcBorders>
            <w:shd w:val="clear" w:color="auto" w:fill="auto"/>
            <w:noWrap/>
            <w:vAlign w:val="center"/>
            <w:hideMark/>
          </w:tcPr>
          <w:p w14:paraId="6F300899" w14:textId="77777777" w:rsidR="00847F65" w:rsidRPr="005E2B4C" w:rsidRDefault="00847F65" w:rsidP="00090E3A">
            <w:pPr>
              <w:jc w:val="center"/>
              <w:rPr>
                <w:color w:val="000000"/>
                <w:sz w:val="16"/>
                <w:szCs w:val="16"/>
              </w:rPr>
            </w:pPr>
            <w:r w:rsidRPr="005E2B4C">
              <w:rPr>
                <w:color w:val="000000"/>
                <w:sz w:val="16"/>
                <w:szCs w:val="16"/>
              </w:rPr>
              <w:t>More balanced sample</w:t>
            </w:r>
          </w:p>
        </w:tc>
      </w:tr>
      <w:tr w:rsidR="006A00B7" w:rsidRPr="005E2B4C" w14:paraId="1C6EC132" w14:textId="77777777" w:rsidTr="006A00B7">
        <w:trPr>
          <w:trHeight w:val="300"/>
        </w:trPr>
        <w:tc>
          <w:tcPr>
            <w:tcW w:w="0" w:type="auto"/>
            <w:tcBorders>
              <w:top w:val="nil"/>
              <w:left w:val="nil"/>
              <w:bottom w:val="nil"/>
              <w:right w:val="nil"/>
            </w:tcBorders>
            <w:shd w:val="clear" w:color="auto" w:fill="auto"/>
            <w:noWrap/>
            <w:vAlign w:val="center"/>
            <w:hideMark/>
          </w:tcPr>
          <w:p w14:paraId="0349FCB5" w14:textId="77777777" w:rsidR="00847F65" w:rsidRPr="005E2B4C" w:rsidRDefault="00847F65" w:rsidP="00090E3A">
            <w:pPr>
              <w:jc w:val="center"/>
              <w:rPr>
                <w:color w:val="000000"/>
                <w:sz w:val="16"/>
                <w:szCs w:val="16"/>
              </w:rPr>
            </w:pPr>
          </w:p>
        </w:tc>
        <w:tc>
          <w:tcPr>
            <w:tcW w:w="0" w:type="auto"/>
            <w:tcBorders>
              <w:top w:val="nil"/>
              <w:left w:val="nil"/>
              <w:bottom w:val="nil"/>
              <w:right w:val="nil"/>
            </w:tcBorders>
            <w:shd w:val="clear" w:color="auto" w:fill="auto"/>
            <w:noWrap/>
            <w:vAlign w:val="center"/>
            <w:hideMark/>
          </w:tcPr>
          <w:p w14:paraId="487058DC" w14:textId="77777777" w:rsidR="008A0821" w:rsidRDefault="008A0821" w:rsidP="00090E3A">
            <w:pPr>
              <w:jc w:val="center"/>
              <w:rPr>
                <w:color w:val="000000"/>
                <w:sz w:val="16"/>
                <w:szCs w:val="16"/>
              </w:rPr>
            </w:pPr>
            <w:r>
              <w:rPr>
                <w:color w:val="000000"/>
                <w:sz w:val="16"/>
                <w:szCs w:val="16"/>
              </w:rPr>
              <w:t xml:space="preserve">            All</w:t>
            </w:r>
          </w:p>
          <w:p w14:paraId="190DD71A" w14:textId="77777777" w:rsidR="00847F65" w:rsidRPr="005E2B4C" w:rsidRDefault="00847F65" w:rsidP="00090E3A">
            <w:pPr>
              <w:jc w:val="center"/>
              <w:rPr>
                <w:color w:val="000000"/>
                <w:sz w:val="16"/>
                <w:szCs w:val="16"/>
              </w:rPr>
            </w:pPr>
            <w:r w:rsidRPr="005E2B4C">
              <w:rPr>
                <w:color w:val="000000"/>
                <w:sz w:val="16"/>
                <w:szCs w:val="16"/>
              </w:rPr>
              <w:t>(1)</w:t>
            </w:r>
          </w:p>
        </w:tc>
        <w:tc>
          <w:tcPr>
            <w:tcW w:w="0" w:type="auto"/>
            <w:tcBorders>
              <w:top w:val="nil"/>
              <w:left w:val="nil"/>
              <w:bottom w:val="nil"/>
              <w:right w:val="nil"/>
            </w:tcBorders>
            <w:shd w:val="clear" w:color="auto" w:fill="auto"/>
            <w:noWrap/>
            <w:vAlign w:val="center"/>
            <w:hideMark/>
          </w:tcPr>
          <w:p w14:paraId="4301CF7F" w14:textId="77777777" w:rsidR="008A0821" w:rsidRDefault="008A0821" w:rsidP="00090E3A">
            <w:pPr>
              <w:jc w:val="center"/>
              <w:rPr>
                <w:color w:val="000000"/>
                <w:sz w:val="16"/>
                <w:szCs w:val="16"/>
              </w:rPr>
            </w:pPr>
            <w:r>
              <w:rPr>
                <w:color w:val="000000"/>
                <w:sz w:val="16"/>
                <w:szCs w:val="16"/>
              </w:rPr>
              <w:t>countries</w:t>
            </w:r>
          </w:p>
          <w:p w14:paraId="378206D1" w14:textId="77777777" w:rsidR="00847F65" w:rsidRPr="005E2B4C" w:rsidRDefault="00847F65" w:rsidP="00090E3A">
            <w:pPr>
              <w:jc w:val="center"/>
              <w:rPr>
                <w:color w:val="000000"/>
                <w:sz w:val="16"/>
                <w:szCs w:val="16"/>
              </w:rPr>
            </w:pPr>
            <w:r w:rsidRPr="005E2B4C">
              <w:rPr>
                <w:color w:val="000000"/>
                <w:sz w:val="16"/>
                <w:szCs w:val="16"/>
              </w:rPr>
              <w:t>(2)</w:t>
            </w:r>
          </w:p>
        </w:tc>
        <w:tc>
          <w:tcPr>
            <w:tcW w:w="0" w:type="auto"/>
            <w:tcBorders>
              <w:top w:val="nil"/>
              <w:left w:val="nil"/>
              <w:bottom w:val="nil"/>
              <w:right w:val="nil"/>
            </w:tcBorders>
            <w:shd w:val="clear" w:color="auto" w:fill="auto"/>
            <w:noWrap/>
            <w:vAlign w:val="center"/>
            <w:hideMark/>
          </w:tcPr>
          <w:p w14:paraId="124C44F0" w14:textId="77777777" w:rsidR="008A0821" w:rsidRDefault="008A0821" w:rsidP="00090E3A">
            <w:pPr>
              <w:jc w:val="center"/>
              <w:rPr>
                <w:color w:val="000000"/>
                <w:sz w:val="16"/>
                <w:szCs w:val="16"/>
              </w:rPr>
            </w:pPr>
            <w:r>
              <w:rPr>
                <w:color w:val="000000"/>
                <w:sz w:val="16"/>
                <w:szCs w:val="16"/>
              </w:rPr>
              <w:t xml:space="preserve">              excl</w:t>
            </w:r>
          </w:p>
          <w:p w14:paraId="12FD69D5" w14:textId="77777777" w:rsidR="00847F65" w:rsidRPr="005E2B4C" w:rsidRDefault="00847F65" w:rsidP="00090E3A">
            <w:pPr>
              <w:jc w:val="center"/>
              <w:rPr>
                <w:color w:val="000000"/>
                <w:sz w:val="16"/>
                <w:szCs w:val="16"/>
              </w:rPr>
            </w:pPr>
            <w:r w:rsidRPr="005E2B4C">
              <w:rPr>
                <w:color w:val="000000"/>
                <w:sz w:val="16"/>
                <w:szCs w:val="16"/>
              </w:rPr>
              <w:t>(3)</w:t>
            </w:r>
          </w:p>
        </w:tc>
        <w:tc>
          <w:tcPr>
            <w:tcW w:w="0" w:type="auto"/>
            <w:tcBorders>
              <w:top w:val="nil"/>
              <w:left w:val="nil"/>
              <w:bottom w:val="nil"/>
              <w:right w:val="nil"/>
            </w:tcBorders>
            <w:shd w:val="clear" w:color="auto" w:fill="auto"/>
            <w:noWrap/>
            <w:vAlign w:val="center"/>
            <w:hideMark/>
          </w:tcPr>
          <w:p w14:paraId="1ED1BE2A" w14:textId="77777777" w:rsidR="008A0821" w:rsidRDefault="008A0821" w:rsidP="00090E3A">
            <w:pPr>
              <w:jc w:val="center"/>
              <w:rPr>
                <w:color w:val="000000"/>
                <w:sz w:val="16"/>
                <w:szCs w:val="16"/>
              </w:rPr>
            </w:pPr>
            <w:r>
              <w:rPr>
                <w:color w:val="000000"/>
                <w:sz w:val="16"/>
                <w:szCs w:val="16"/>
              </w:rPr>
              <w:t>North-North</w:t>
            </w:r>
          </w:p>
          <w:p w14:paraId="6F79040E" w14:textId="77777777" w:rsidR="00847F65" w:rsidRPr="005E2B4C" w:rsidRDefault="00847F65" w:rsidP="00090E3A">
            <w:pPr>
              <w:jc w:val="center"/>
              <w:rPr>
                <w:color w:val="000000"/>
                <w:sz w:val="16"/>
                <w:szCs w:val="16"/>
              </w:rPr>
            </w:pPr>
            <w:r w:rsidRPr="005E2B4C">
              <w:rPr>
                <w:color w:val="000000"/>
                <w:sz w:val="16"/>
                <w:szCs w:val="16"/>
              </w:rPr>
              <w:t>(4)</w:t>
            </w:r>
          </w:p>
        </w:tc>
        <w:tc>
          <w:tcPr>
            <w:tcW w:w="0" w:type="auto"/>
            <w:tcBorders>
              <w:top w:val="nil"/>
              <w:left w:val="nil"/>
              <w:bottom w:val="nil"/>
              <w:right w:val="nil"/>
            </w:tcBorders>
            <w:shd w:val="clear" w:color="auto" w:fill="auto"/>
            <w:noWrap/>
            <w:vAlign w:val="center"/>
            <w:hideMark/>
          </w:tcPr>
          <w:p w14:paraId="109D9323" w14:textId="77777777" w:rsidR="008A0821" w:rsidRDefault="008A0821" w:rsidP="00090E3A">
            <w:pPr>
              <w:jc w:val="center"/>
              <w:rPr>
                <w:color w:val="000000"/>
                <w:sz w:val="16"/>
                <w:szCs w:val="16"/>
              </w:rPr>
            </w:pPr>
            <w:r>
              <w:rPr>
                <w:color w:val="000000"/>
                <w:sz w:val="16"/>
                <w:szCs w:val="16"/>
              </w:rPr>
              <w:t xml:space="preserve">                  All</w:t>
            </w:r>
          </w:p>
          <w:p w14:paraId="0822578C" w14:textId="77777777" w:rsidR="00847F65" w:rsidRPr="005E2B4C" w:rsidRDefault="00847F65" w:rsidP="00090E3A">
            <w:pPr>
              <w:jc w:val="center"/>
              <w:rPr>
                <w:color w:val="000000"/>
                <w:sz w:val="16"/>
                <w:szCs w:val="16"/>
              </w:rPr>
            </w:pPr>
            <w:r w:rsidRPr="005E2B4C">
              <w:rPr>
                <w:color w:val="000000"/>
                <w:sz w:val="16"/>
                <w:szCs w:val="16"/>
              </w:rPr>
              <w:t>(5)</w:t>
            </w:r>
          </w:p>
        </w:tc>
        <w:tc>
          <w:tcPr>
            <w:tcW w:w="0" w:type="auto"/>
            <w:tcBorders>
              <w:top w:val="nil"/>
              <w:left w:val="nil"/>
              <w:bottom w:val="nil"/>
              <w:right w:val="nil"/>
            </w:tcBorders>
            <w:shd w:val="clear" w:color="auto" w:fill="auto"/>
            <w:noWrap/>
            <w:vAlign w:val="center"/>
            <w:hideMark/>
          </w:tcPr>
          <w:p w14:paraId="28854152" w14:textId="77777777" w:rsidR="008A0821" w:rsidRDefault="008A0821" w:rsidP="00090E3A">
            <w:pPr>
              <w:jc w:val="center"/>
              <w:rPr>
                <w:color w:val="000000"/>
                <w:sz w:val="16"/>
                <w:szCs w:val="16"/>
              </w:rPr>
            </w:pPr>
            <w:r>
              <w:rPr>
                <w:color w:val="000000"/>
                <w:sz w:val="16"/>
                <w:szCs w:val="16"/>
              </w:rPr>
              <w:t>countries</w:t>
            </w:r>
          </w:p>
          <w:p w14:paraId="1B27A7C1" w14:textId="77777777" w:rsidR="00847F65" w:rsidRPr="005E2B4C" w:rsidRDefault="00847F65" w:rsidP="00090E3A">
            <w:pPr>
              <w:jc w:val="center"/>
              <w:rPr>
                <w:color w:val="000000"/>
                <w:sz w:val="16"/>
                <w:szCs w:val="16"/>
              </w:rPr>
            </w:pPr>
            <w:r w:rsidRPr="005E2B4C">
              <w:rPr>
                <w:color w:val="000000"/>
                <w:sz w:val="16"/>
                <w:szCs w:val="16"/>
              </w:rPr>
              <w:t>(6)</w:t>
            </w:r>
          </w:p>
        </w:tc>
        <w:tc>
          <w:tcPr>
            <w:tcW w:w="0" w:type="auto"/>
            <w:tcBorders>
              <w:top w:val="nil"/>
              <w:left w:val="nil"/>
              <w:bottom w:val="nil"/>
              <w:right w:val="nil"/>
            </w:tcBorders>
            <w:shd w:val="clear" w:color="auto" w:fill="auto"/>
            <w:noWrap/>
            <w:vAlign w:val="center"/>
            <w:hideMark/>
          </w:tcPr>
          <w:p w14:paraId="5B5B5D18" w14:textId="77777777" w:rsidR="00632132" w:rsidRDefault="00632132" w:rsidP="00090E3A">
            <w:pPr>
              <w:jc w:val="center"/>
              <w:rPr>
                <w:color w:val="000000"/>
                <w:sz w:val="16"/>
                <w:szCs w:val="16"/>
              </w:rPr>
            </w:pPr>
            <w:r>
              <w:rPr>
                <w:color w:val="000000"/>
                <w:sz w:val="16"/>
                <w:szCs w:val="16"/>
              </w:rPr>
              <w:t xml:space="preserve">              excl.</w:t>
            </w:r>
          </w:p>
          <w:p w14:paraId="5B0F5495" w14:textId="77777777" w:rsidR="00847F65" w:rsidRPr="005E2B4C" w:rsidRDefault="00847F65" w:rsidP="00090E3A">
            <w:pPr>
              <w:jc w:val="center"/>
              <w:rPr>
                <w:color w:val="000000"/>
                <w:sz w:val="16"/>
                <w:szCs w:val="16"/>
              </w:rPr>
            </w:pPr>
            <w:r w:rsidRPr="005E2B4C">
              <w:rPr>
                <w:color w:val="000000"/>
                <w:sz w:val="16"/>
                <w:szCs w:val="16"/>
              </w:rPr>
              <w:t>(7)</w:t>
            </w:r>
          </w:p>
        </w:tc>
        <w:tc>
          <w:tcPr>
            <w:tcW w:w="0" w:type="auto"/>
            <w:tcBorders>
              <w:top w:val="nil"/>
              <w:left w:val="nil"/>
              <w:bottom w:val="nil"/>
              <w:right w:val="nil"/>
            </w:tcBorders>
            <w:shd w:val="clear" w:color="auto" w:fill="auto"/>
            <w:noWrap/>
            <w:vAlign w:val="center"/>
            <w:hideMark/>
          </w:tcPr>
          <w:p w14:paraId="762CC36C" w14:textId="77777777" w:rsidR="00632132" w:rsidRDefault="00632132" w:rsidP="00090E3A">
            <w:pPr>
              <w:jc w:val="center"/>
              <w:rPr>
                <w:color w:val="000000"/>
                <w:sz w:val="16"/>
                <w:szCs w:val="16"/>
              </w:rPr>
            </w:pPr>
            <w:r>
              <w:rPr>
                <w:color w:val="000000"/>
                <w:sz w:val="16"/>
                <w:szCs w:val="16"/>
              </w:rPr>
              <w:t>North-North</w:t>
            </w:r>
          </w:p>
          <w:p w14:paraId="2E520AA2" w14:textId="77777777" w:rsidR="00847F65" w:rsidRPr="005E2B4C" w:rsidRDefault="00847F65" w:rsidP="00090E3A">
            <w:pPr>
              <w:jc w:val="center"/>
              <w:rPr>
                <w:color w:val="000000"/>
                <w:sz w:val="16"/>
                <w:szCs w:val="16"/>
              </w:rPr>
            </w:pPr>
            <w:r w:rsidRPr="005E2B4C">
              <w:rPr>
                <w:color w:val="000000"/>
                <w:sz w:val="16"/>
                <w:szCs w:val="16"/>
              </w:rPr>
              <w:t>(8)</w:t>
            </w:r>
          </w:p>
        </w:tc>
      </w:tr>
      <w:tr w:rsidR="006A00B7" w:rsidRPr="005E2B4C" w14:paraId="015A774C" w14:textId="77777777" w:rsidTr="006A00B7">
        <w:trPr>
          <w:trHeight w:val="300"/>
        </w:trPr>
        <w:tc>
          <w:tcPr>
            <w:tcW w:w="0" w:type="auto"/>
            <w:tcBorders>
              <w:top w:val="nil"/>
              <w:left w:val="nil"/>
              <w:bottom w:val="single" w:sz="4" w:space="0" w:color="auto"/>
              <w:right w:val="nil"/>
            </w:tcBorders>
            <w:shd w:val="clear" w:color="auto" w:fill="auto"/>
            <w:noWrap/>
            <w:vAlign w:val="center"/>
            <w:hideMark/>
          </w:tcPr>
          <w:p w14:paraId="5FF6548F" w14:textId="77777777" w:rsidR="00847F65" w:rsidRPr="005E2B4C" w:rsidRDefault="00847F65" w:rsidP="00090E3A">
            <w:pPr>
              <w:jc w:val="center"/>
              <w:rPr>
                <w:color w:val="000000"/>
                <w:sz w:val="16"/>
                <w:szCs w:val="16"/>
              </w:rPr>
            </w:pPr>
          </w:p>
        </w:tc>
        <w:tc>
          <w:tcPr>
            <w:tcW w:w="0" w:type="auto"/>
            <w:tcBorders>
              <w:top w:val="nil"/>
              <w:left w:val="nil"/>
              <w:bottom w:val="single" w:sz="4" w:space="0" w:color="auto"/>
              <w:right w:val="nil"/>
            </w:tcBorders>
            <w:shd w:val="clear" w:color="auto" w:fill="auto"/>
            <w:noWrap/>
            <w:vAlign w:val="center"/>
            <w:hideMark/>
          </w:tcPr>
          <w:p w14:paraId="0816D109" w14:textId="77777777" w:rsidR="00847F65" w:rsidRPr="005E2B4C" w:rsidRDefault="00847F65" w:rsidP="00090E3A">
            <w:pPr>
              <w:ind w:left="-108"/>
              <w:jc w:val="center"/>
              <w:rPr>
                <w:color w:val="000000"/>
                <w:sz w:val="16"/>
                <w:szCs w:val="16"/>
              </w:rPr>
            </w:pPr>
            <w:r w:rsidRPr="005E2B4C">
              <w:rPr>
                <w:color w:val="000000"/>
                <w:sz w:val="16"/>
                <w:szCs w:val="16"/>
              </w:rPr>
              <w:t>Containerizable</w:t>
            </w:r>
          </w:p>
        </w:tc>
        <w:tc>
          <w:tcPr>
            <w:tcW w:w="0" w:type="auto"/>
            <w:tcBorders>
              <w:top w:val="nil"/>
              <w:left w:val="nil"/>
              <w:bottom w:val="single" w:sz="4" w:space="0" w:color="auto"/>
              <w:right w:val="nil"/>
            </w:tcBorders>
            <w:shd w:val="clear" w:color="auto" w:fill="auto"/>
            <w:noWrap/>
            <w:vAlign w:val="center"/>
            <w:hideMark/>
          </w:tcPr>
          <w:p w14:paraId="6E5E0D00" w14:textId="77777777" w:rsidR="00847F65" w:rsidRPr="005E2B4C" w:rsidRDefault="00847F65" w:rsidP="00090E3A">
            <w:pPr>
              <w:jc w:val="center"/>
              <w:rPr>
                <w:color w:val="000000"/>
                <w:sz w:val="16"/>
                <w:szCs w:val="16"/>
              </w:rPr>
            </w:pPr>
            <w:r w:rsidRPr="005E2B4C">
              <w:rPr>
                <w:color w:val="000000"/>
                <w:sz w:val="16"/>
                <w:szCs w:val="16"/>
              </w:rPr>
              <w:t>All industries</w:t>
            </w:r>
          </w:p>
        </w:tc>
        <w:tc>
          <w:tcPr>
            <w:tcW w:w="0" w:type="auto"/>
            <w:tcBorders>
              <w:top w:val="nil"/>
              <w:left w:val="nil"/>
              <w:bottom w:val="single" w:sz="4" w:space="0" w:color="auto"/>
              <w:right w:val="nil"/>
            </w:tcBorders>
            <w:shd w:val="clear" w:color="auto" w:fill="auto"/>
            <w:noWrap/>
            <w:vAlign w:val="center"/>
            <w:hideMark/>
          </w:tcPr>
          <w:p w14:paraId="2925A4D3" w14:textId="77777777" w:rsidR="00847F65" w:rsidRPr="005E2B4C" w:rsidRDefault="00847F65" w:rsidP="00090E3A">
            <w:pPr>
              <w:jc w:val="center"/>
              <w:rPr>
                <w:color w:val="000000"/>
                <w:sz w:val="16"/>
                <w:szCs w:val="16"/>
              </w:rPr>
            </w:pPr>
            <w:r w:rsidRPr="005E2B4C">
              <w:rPr>
                <w:color w:val="000000"/>
                <w:sz w:val="16"/>
                <w:szCs w:val="16"/>
              </w:rPr>
              <w:t>Containerizable</w:t>
            </w:r>
          </w:p>
        </w:tc>
        <w:tc>
          <w:tcPr>
            <w:tcW w:w="0" w:type="auto"/>
            <w:tcBorders>
              <w:top w:val="nil"/>
              <w:left w:val="nil"/>
              <w:bottom w:val="single" w:sz="4" w:space="0" w:color="auto"/>
              <w:right w:val="nil"/>
            </w:tcBorders>
            <w:shd w:val="clear" w:color="auto" w:fill="auto"/>
            <w:noWrap/>
            <w:vAlign w:val="center"/>
            <w:hideMark/>
          </w:tcPr>
          <w:p w14:paraId="2430F4D1" w14:textId="77777777" w:rsidR="00847F65" w:rsidRPr="005E2B4C" w:rsidRDefault="00847F65" w:rsidP="00090E3A">
            <w:pPr>
              <w:jc w:val="center"/>
              <w:rPr>
                <w:color w:val="000000"/>
                <w:sz w:val="16"/>
                <w:szCs w:val="16"/>
              </w:rPr>
            </w:pPr>
            <w:r w:rsidRPr="005E2B4C">
              <w:rPr>
                <w:color w:val="000000"/>
                <w:sz w:val="16"/>
                <w:szCs w:val="16"/>
              </w:rPr>
              <w:t>All industries</w:t>
            </w:r>
          </w:p>
        </w:tc>
        <w:tc>
          <w:tcPr>
            <w:tcW w:w="0" w:type="auto"/>
            <w:tcBorders>
              <w:top w:val="nil"/>
              <w:left w:val="nil"/>
              <w:bottom w:val="single" w:sz="4" w:space="0" w:color="auto"/>
              <w:right w:val="nil"/>
            </w:tcBorders>
            <w:shd w:val="clear" w:color="auto" w:fill="auto"/>
            <w:noWrap/>
            <w:vAlign w:val="center"/>
            <w:hideMark/>
          </w:tcPr>
          <w:p w14:paraId="052CB851" w14:textId="77777777" w:rsidR="00847F65" w:rsidRPr="005E2B4C" w:rsidRDefault="00847F65" w:rsidP="00090E3A">
            <w:pPr>
              <w:jc w:val="center"/>
              <w:rPr>
                <w:color w:val="000000"/>
                <w:sz w:val="16"/>
                <w:szCs w:val="16"/>
              </w:rPr>
            </w:pPr>
            <w:r w:rsidRPr="005E2B4C">
              <w:rPr>
                <w:color w:val="000000"/>
                <w:sz w:val="16"/>
                <w:szCs w:val="16"/>
              </w:rPr>
              <w:t>Containerizable</w:t>
            </w:r>
          </w:p>
        </w:tc>
        <w:tc>
          <w:tcPr>
            <w:tcW w:w="0" w:type="auto"/>
            <w:tcBorders>
              <w:top w:val="nil"/>
              <w:left w:val="nil"/>
              <w:bottom w:val="single" w:sz="4" w:space="0" w:color="auto"/>
              <w:right w:val="nil"/>
            </w:tcBorders>
            <w:shd w:val="clear" w:color="auto" w:fill="auto"/>
            <w:noWrap/>
            <w:vAlign w:val="center"/>
            <w:hideMark/>
          </w:tcPr>
          <w:p w14:paraId="1FA7AC5B" w14:textId="77777777" w:rsidR="00847F65" w:rsidRPr="005E2B4C" w:rsidRDefault="00847F65" w:rsidP="00090E3A">
            <w:pPr>
              <w:jc w:val="center"/>
              <w:rPr>
                <w:color w:val="000000"/>
                <w:sz w:val="16"/>
                <w:szCs w:val="16"/>
              </w:rPr>
            </w:pPr>
            <w:r w:rsidRPr="005E2B4C">
              <w:rPr>
                <w:color w:val="000000"/>
                <w:sz w:val="16"/>
                <w:szCs w:val="16"/>
              </w:rPr>
              <w:t>All industries</w:t>
            </w:r>
          </w:p>
        </w:tc>
        <w:tc>
          <w:tcPr>
            <w:tcW w:w="0" w:type="auto"/>
            <w:tcBorders>
              <w:top w:val="nil"/>
              <w:left w:val="nil"/>
              <w:bottom w:val="single" w:sz="4" w:space="0" w:color="auto"/>
              <w:right w:val="nil"/>
            </w:tcBorders>
            <w:shd w:val="clear" w:color="auto" w:fill="auto"/>
            <w:noWrap/>
            <w:vAlign w:val="center"/>
            <w:hideMark/>
          </w:tcPr>
          <w:p w14:paraId="7E8BE9FC" w14:textId="77777777" w:rsidR="00847F65" w:rsidRPr="005E2B4C" w:rsidRDefault="00847F65" w:rsidP="00090E3A">
            <w:pPr>
              <w:jc w:val="center"/>
              <w:rPr>
                <w:color w:val="000000"/>
                <w:sz w:val="16"/>
                <w:szCs w:val="16"/>
              </w:rPr>
            </w:pPr>
            <w:r w:rsidRPr="005E2B4C">
              <w:rPr>
                <w:color w:val="000000"/>
                <w:sz w:val="16"/>
                <w:szCs w:val="16"/>
              </w:rPr>
              <w:t>Containerizable</w:t>
            </w:r>
          </w:p>
        </w:tc>
        <w:tc>
          <w:tcPr>
            <w:tcW w:w="0" w:type="auto"/>
            <w:tcBorders>
              <w:top w:val="nil"/>
              <w:left w:val="nil"/>
              <w:bottom w:val="single" w:sz="4" w:space="0" w:color="auto"/>
              <w:right w:val="nil"/>
            </w:tcBorders>
            <w:shd w:val="clear" w:color="auto" w:fill="auto"/>
            <w:noWrap/>
            <w:vAlign w:val="center"/>
            <w:hideMark/>
          </w:tcPr>
          <w:p w14:paraId="589C5AF6" w14:textId="77777777" w:rsidR="00847F65" w:rsidRPr="005E2B4C" w:rsidRDefault="00847F65" w:rsidP="00090E3A">
            <w:pPr>
              <w:jc w:val="center"/>
              <w:rPr>
                <w:color w:val="000000"/>
                <w:sz w:val="16"/>
                <w:szCs w:val="16"/>
              </w:rPr>
            </w:pPr>
            <w:r w:rsidRPr="005E2B4C">
              <w:rPr>
                <w:color w:val="000000"/>
                <w:sz w:val="16"/>
                <w:szCs w:val="16"/>
              </w:rPr>
              <w:t>All industries</w:t>
            </w:r>
          </w:p>
        </w:tc>
      </w:tr>
      <w:tr w:rsidR="006A00B7" w:rsidRPr="005E2B4C" w14:paraId="308A96D7" w14:textId="77777777" w:rsidTr="006A00B7">
        <w:trPr>
          <w:trHeight w:val="300"/>
        </w:trPr>
        <w:tc>
          <w:tcPr>
            <w:tcW w:w="0" w:type="auto"/>
            <w:tcBorders>
              <w:top w:val="nil"/>
              <w:left w:val="nil"/>
              <w:bottom w:val="nil"/>
              <w:right w:val="nil"/>
            </w:tcBorders>
            <w:shd w:val="clear" w:color="auto" w:fill="auto"/>
            <w:noWrap/>
            <w:vAlign w:val="center"/>
            <w:hideMark/>
          </w:tcPr>
          <w:p w14:paraId="069F4F9E" w14:textId="77777777" w:rsidR="00847F65" w:rsidRPr="005E2B4C" w:rsidRDefault="00847F65" w:rsidP="00090E3A">
            <w:pPr>
              <w:jc w:val="center"/>
              <w:rPr>
                <w:color w:val="000000"/>
                <w:sz w:val="16"/>
                <w:szCs w:val="16"/>
              </w:rPr>
            </w:pPr>
            <m:oMathPara>
              <m:oMathParaPr>
                <m:jc m:val="left"/>
              </m:oMathParaPr>
              <m:oMath>
                <m:r>
                  <w:rPr>
                    <w:rFonts w:ascii="Cambria Math" w:hAnsi="Cambria Math"/>
                    <w:color w:val="000000"/>
                    <w:sz w:val="16"/>
                    <w:szCs w:val="16"/>
                  </w:rPr>
                  <m:t xml:space="preserve">∆ </m:t>
                </m:r>
                <m:sSub>
                  <m:sSubPr>
                    <m:ctrlPr>
                      <w:rPr>
                        <w:rFonts w:ascii="Cambria Math" w:hAnsi="Cambria Math"/>
                        <w:i/>
                        <w:color w:val="000000"/>
                        <w:sz w:val="16"/>
                        <w:szCs w:val="16"/>
                      </w:rPr>
                    </m:ctrlPr>
                  </m:sSubPr>
                  <m:e>
                    <m:r>
                      <w:rPr>
                        <w:rFonts w:ascii="Cambria Math" w:hAnsi="Cambria Math"/>
                        <w:color w:val="000000"/>
                        <w:sz w:val="16"/>
                        <w:szCs w:val="16"/>
                      </w:rPr>
                      <m:t>full cont</m:t>
                    </m:r>
                  </m:e>
                  <m:sub>
                    <m:r>
                      <w:rPr>
                        <w:rFonts w:ascii="Cambria Math" w:hAnsi="Cambria Math"/>
                        <w:color w:val="000000"/>
                        <w:sz w:val="16"/>
                        <w:szCs w:val="16"/>
                      </w:rPr>
                      <m:t>ij,t</m:t>
                    </m:r>
                  </m:sub>
                </m:sSub>
              </m:oMath>
            </m:oMathPara>
          </w:p>
        </w:tc>
        <w:tc>
          <w:tcPr>
            <w:tcW w:w="0" w:type="auto"/>
            <w:tcBorders>
              <w:top w:val="nil"/>
              <w:left w:val="nil"/>
              <w:bottom w:val="nil"/>
              <w:right w:val="nil"/>
            </w:tcBorders>
            <w:shd w:val="clear" w:color="auto" w:fill="auto"/>
            <w:noWrap/>
            <w:vAlign w:val="center"/>
            <w:hideMark/>
          </w:tcPr>
          <w:p w14:paraId="28BE0BEF" w14:textId="77777777" w:rsidR="00847F65" w:rsidRPr="005E2B4C" w:rsidRDefault="00847F65" w:rsidP="00090E3A">
            <w:pPr>
              <w:jc w:val="center"/>
              <w:rPr>
                <w:color w:val="000000"/>
                <w:sz w:val="16"/>
                <w:szCs w:val="16"/>
              </w:rPr>
            </w:pPr>
            <w:r w:rsidRPr="005E2B4C">
              <w:rPr>
                <w:color w:val="000000"/>
                <w:sz w:val="16"/>
                <w:szCs w:val="16"/>
              </w:rPr>
              <w:t>1.200***</w:t>
            </w:r>
          </w:p>
        </w:tc>
        <w:tc>
          <w:tcPr>
            <w:tcW w:w="0" w:type="auto"/>
            <w:tcBorders>
              <w:top w:val="nil"/>
              <w:left w:val="nil"/>
              <w:bottom w:val="nil"/>
              <w:right w:val="nil"/>
            </w:tcBorders>
            <w:shd w:val="clear" w:color="auto" w:fill="auto"/>
            <w:noWrap/>
            <w:vAlign w:val="center"/>
            <w:hideMark/>
          </w:tcPr>
          <w:p w14:paraId="1DDCA341" w14:textId="77777777" w:rsidR="00847F65" w:rsidRPr="005E2B4C" w:rsidRDefault="00847F65" w:rsidP="00090E3A">
            <w:pPr>
              <w:jc w:val="center"/>
              <w:rPr>
                <w:color w:val="000000"/>
                <w:sz w:val="16"/>
                <w:szCs w:val="16"/>
              </w:rPr>
            </w:pPr>
            <w:r w:rsidRPr="005E2B4C">
              <w:rPr>
                <w:color w:val="000000"/>
                <w:sz w:val="16"/>
                <w:szCs w:val="16"/>
              </w:rPr>
              <w:t>1.244***</w:t>
            </w:r>
          </w:p>
        </w:tc>
        <w:tc>
          <w:tcPr>
            <w:tcW w:w="0" w:type="auto"/>
            <w:tcBorders>
              <w:top w:val="nil"/>
              <w:left w:val="nil"/>
              <w:bottom w:val="nil"/>
              <w:right w:val="nil"/>
            </w:tcBorders>
            <w:shd w:val="clear" w:color="auto" w:fill="auto"/>
            <w:noWrap/>
            <w:vAlign w:val="center"/>
            <w:hideMark/>
          </w:tcPr>
          <w:p w14:paraId="346FBD7B" w14:textId="77777777" w:rsidR="00847F65" w:rsidRPr="005E2B4C" w:rsidRDefault="00847F65" w:rsidP="00090E3A">
            <w:pPr>
              <w:jc w:val="center"/>
              <w:rPr>
                <w:color w:val="000000"/>
                <w:sz w:val="16"/>
                <w:szCs w:val="16"/>
              </w:rPr>
            </w:pPr>
            <w:r w:rsidRPr="005E2B4C">
              <w:rPr>
                <w:color w:val="000000"/>
                <w:sz w:val="16"/>
                <w:szCs w:val="16"/>
              </w:rPr>
              <w:t>1.139***</w:t>
            </w:r>
          </w:p>
        </w:tc>
        <w:tc>
          <w:tcPr>
            <w:tcW w:w="0" w:type="auto"/>
            <w:tcBorders>
              <w:top w:val="nil"/>
              <w:left w:val="nil"/>
              <w:bottom w:val="nil"/>
              <w:right w:val="nil"/>
            </w:tcBorders>
            <w:shd w:val="clear" w:color="auto" w:fill="auto"/>
            <w:noWrap/>
            <w:vAlign w:val="center"/>
            <w:hideMark/>
          </w:tcPr>
          <w:p w14:paraId="3DC4F71B" w14:textId="77777777" w:rsidR="00847F65" w:rsidRPr="005E2B4C" w:rsidRDefault="00847F65" w:rsidP="00090E3A">
            <w:pPr>
              <w:jc w:val="center"/>
              <w:rPr>
                <w:color w:val="000000"/>
                <w:sz w:val="16"/>
                <w:szCs w:val="16"/>
              </w:rPr>
            </w:pPr>
            <w:r w:rsidRPr="005E2B4C">
              <w:rPr>
                <w:color w:val="000000"/>
                <w:sz w:val="16"/>
                <w:szCs w:val="16"/>
              </w:rPr>
              <w:t>1.174***</w:t>
            </w:r>
          </w:p>
        </w:tc>
        <w:tc>
          <w:tcPr>
            <w:tcW w:w="0" w:type="auto"/>
            <w:tcBorders>
              <w:top w:val="nil"/>
              <w:left w:val="single" w:sz="4" w:space="0" w:color="auto"/>
              <w:bottom w:val="nil"/>
              <w:right w:val="nil"/>
            </w:tcBorders>
            <w:shd w:val="clear" w:color="auto" w:fill="auto"/>
            <w:noWrap/>
            <w:vAlign w:val="center"/>
            <w:hideMark/>
          </w:tcPr>
          <w:p w14:paraId="484899B7" w14:textId="77777777" w:rsidR="00847F65" w:rsidRPr="005E2B4C" w:rsidRDefault="00847F65" w:rsidP="00090E3A">
            <w:pPr>
              <w:jc w:val="center"/>
              <w:rPr>
                <w:color w:val="000000"/>
                <w:sz w:val="16"/>
                <w:szCs w:val="16"/>
              </w:rPr>
            </w:pPr>
            <w:r w:rsidRPr="005E2B4C">
              <w:rPr>
                <w:color w:val="000000"/>
                <w:sz w:val="16"/>
                <w:szCs w:val="16"/>
              </w:rPr>
              <w:t>1.306***</w:t>
            </w:r>
          </w:p>
        </w:tc>
        <w:tc>
          <w:tcPr>
            <w:tcW w:w="0" w:type="auto"/>
            <w:tcBorders>
              <w:top w:val="nil"/>
              <w:left w:val="nil"/>
              <w:bottom w:val="nil"/>
              <w:right w:val="nil"/>
            </w:tcBorders>
            <w:shd w:val="clear" w:color="auto" w:fill="auto"/>
            <w:noWrap/>
            <w:vAlign w:val="center"/>
            <w:hideMark/>
          </w:tcPr>
          <w:p w14:paraId="243DEDFB" w14:textId="77777777" w:rsidR="00847F65" w:rsidRPr="005E2B4C" w:rsidRDefault="00847F65" w:rsidP="00090E3A">
            <w:pPr>
              <w:jc w:val="center"/>
              <w:rPr>
                <w:color w:val="000000"/>
                <w:sz w:val="16"/>
                <w:szCs w:val="16"/>
              </w:rPr>
            </w:pPr>
            <w:r w:rsidRPr="005E2B4C">
              <w:rPr>
                <w:color w:val="000000"/>
                <w:sz w:val="16"/>
                <w:szCs w:val="16"/>
              </w:rPr>
              <w:t>1.344***</w:t>
            </w:r>
          </w:p>
        </w:tc>
        <w:tc>
          <w:tcPr>
            <w:tcW w:w="0" w:type="auto"/>
            <w:tcBorders>
              <w:top w:val="nil"/>
              <w:left w:val="nil"/>
              <w:bottom w:val="nil"/>
              <w:right w:val="nil"/>
            </w:tcBorders>
            <w:shd w:val="clear" w:color="auto" w:fill="auto"/>
            <w:noWrap/>
            <w:vAlign w:val="center"/>
            <w:hideMark/>
          </w:tcPr>
          <w:p w14:paraId="76DF6A41" w14:textId="77777777" w:rsidR="00847F65" w:rsidRPr="005E2B4C" w:rsidRDefault="00847F65" w:rsidP="00090E3A">
            <w:pPr>
              <w:jc w:val="center"/>
              <w:rPr>
                <w:color w:val="000000"/>
                <w:sz w:val="16"/>
                <w:szCs w:val="16"/>
              </w:rPr>
            </w:pPr>
            <w:r w:rsidRPr="005E2B4C">
              <w:rPr>
                <w:color w:val="000000"/>
                <w:sz w:val="16"/>
                <w:szCs w:val="16"/>
              </w:rPr>
              <w:t>1.238***</w:t>
            </w:r>
          </w:p>
        </w:tc>
        <w:tc>
          <w:tcPr>
            <w:tcW w:w="0" w:type="auto"/>
            <w:tcBorders>
              <w:top w:val="nil"/>
              <w:left w:val="nil"/>
              <w:bottom w:val="nil"/>
              <w:right w:val="nil"/>
            </w:tcBorders>
            <w:shd w:val="clear" w:color="auto" w:fill="auto"/>
            <w:noWrap/>
            <w:vAlign w:val="center"/>
            <w:hideMark/>
          </w:tcPr>
          <w:p w14:paraId="73FC4907" w14:textId="77777777" w:rsidR="00847F65" w:rsidRPr="005E2B4C" w:rsidRDefault="00847F65" w:rsidP="00090E3A">
            <w:pPr>
              <w:jc w:val="center"/>
              <w:rPr>
                <w:color w:val="000000"/>
                <w:sz w:val="16"/>
                <w:szCs w:val="16"/>
              </w:rPr>
            </w:pPr>
            <w:r w:rsidRPr="005E2B4C">
              <w:rPr>
                <w:color w:val="000000"/>
                <w:sz w:val="16"/>
                <w:szCs w:val="16"/>
              </w:rPr>
              <w:t>1.268***</w:t>
            </w:r>
          </w:p>
        </w:tc>
      </w:tr>
      <w:tr w:rsidR="006A00B7" w:rsidRPr="005E2B4C" w14:paraId="6DB8D024" w14:textId="77777777" w:rsidTr="006A00B7">
        <w:trPr>
          <w:trHeight w:val="300"/>
        </w:trPr>
        <w:tc>
          <w:tcPr>
            <w:tcW w:w="0" w:type="auto"/>
            <w:tcBorders>
              <w:top w:val="nil"/>
              <w:left w:val="nil"/>
              <w:bottom w:val="nil"/>
              <w:right w:val="nil"/>
            </w:tcBorders>
            <w:shd w:val="clear" w:color="auto" w:fill="auto"/>
            <w:noWrap/>
            <w:vAlign w:val="center"/>
            <w:hideMark/>
          </w:tcPr>
          <w:p w14:paraId="4FC99557" w14:textId="77777777" w:rsidR="00847F65" w:rsidRPr="005E2B4C" w:rsidRDefault="00847F65" w:rsidP="00090E3A">
            <w:pPr>
              <w:jc w:val="center"/>
              <w:rPr>
                <w:color w:val="000000"/>
                <w:sz w:val="16"/>
                <w:szCs w:val="16"/>
              </w:rPr>
            </w:pPr>
          </w:p>
        </w:tc>
        <w:tc>
          <w:tcPr>
            <w:tcW w:w="0" w:type="auto"/>
            <w:tcBorders>
              <w:top w:val="nil"/>
              <w:left w:val="nil"/>
              <w:bottom w:val="nil"/>
              <w:right w:val="nil"/>
            </w:tcBorders>
            <w:shd w:val="clear" w:color="auto" w:fill="auto"/>
            <w:noWrap/>
            <w:vAlign w:val="center"/>
            <w:hideMark/>
          </w:tcPr>
          <w:p w14:paraId="0372FF47" w14:textId="77777777" w:rsidR="00847F65" w:rsidRPr="005E2B4C" w:rsidRDefault="00847F65" w:rsidP="00090E3A">
            <w:pPr>
              <w:jc w:val="center"/>
              <w:rPr>
                <w:color w:val="000000"/>
                <w:sz w:val="16"/>
                <w:szCs w:val="16"/>
              </w:rPr>
            </w:pPr>
            <w:r w:rsidRPr="005E2B4C">
              <w:rPr>
                <w:color w:val="000000"/>
                <w:sz w:val="16"/>
                <w:szCs w:val="16"/>
              </w:rPr>
              <w:t>(0.0152)</w:t>
            </w:r>
          </w:p>
        </w:tc>
        <w:tc>
          <w:tcPr>
            <w:tcW w:w="0" w:type="auto"/>
            <w:tcBorders>
              <w:top w:val="nil"/>
              <w:left w:val="nil"/>
              <w:bottom w:val="nil"/>
              <w:right w:val="nil"/>
            </w:tcBorders>
            <w:shd w:val="clear" w:color="auto" w:fill="auto"/>
            <w:noWrap/>
            <w:vAlign w:val="center"/>
            <w:hideMark/>
          </w:tcPr>
          <w:p w14:paraId="6DB80402" w14:textId="77777777" w:rsidR="00847F65" w:rsidRPr="005E2B4C" w:rsidRDefault="00847F65" w:rsidP="00090E3A">
            <w:pPr>
              <w:jc w:val="center"/>
              <w:rPr>
                <w:color w:val="000000"/>
                <w:sz w:val="16"/>
                <w:szCs w:val="16"/>
              </w:rPr>
            </w:pPr>
            <w:r w:rsidRPr="005E2B4C">
              <w:rPr>
                <w:color w:val="000000"/>
                <w:sz w:val="16"/>
                <w:szCs w:val="16"/>
              </w:rPr>
              <w:t>(0.0135)</w:t>
            </w:r>
          </w:p>
        </w:tc>
        <w:tc>
          <w:tcPr>
            <w:tcW w:w="0" w:type="auto"/>
            <w:tcBorders>
              <w:top w:val="nil"/>
              <w:left w:val="nil"/>
              <w:bottom w:val="nil"/>
              <w:right w:val="nil"/>
            </w:tcBorders>
            <w:shd w:val="clear" w:color="auto" w:fill="auto"/>
            <w:noWrap/>
            <w:vAlign w:val="center"/>
            <w:hideMark/>
          </w:tcPr>
          <w:p w14:paraId="477EA9ED" w14:textId="77777777" w:rsidR="00847F65" w:rsidRPr="005E2B4C" w:rsidRDefault="00847F65" w:rsidP="00090E3A">
            <w:pPr>
              <w:jc w:val="center"/>
              <w:rPr>
                <w:color w:val="000000"/>
                <w:sz w:val="16"/>
                <w:szCs w:val="16"/>
              </w:rPr>
            </w:pPr>
            <w:r w:rsidRPr="005E2B4C">
              <w:rPr>
                <w:color w:val="000000"/>
                <w:sz w:val="16"/>
                <w:szCs w:val="16"/>
              </w:rPr>
              <w:t>(0.0174)</w:t>
            </w:r>
          </w:p>
        </w:tc>
        <w:tc>
          <w:tcPr>
            <w:tcW w:w="0" w:type="auto"/>
            <w:tcBorders>
              <w:top w:val="nil"/>
              <w:left w:val="nil"/>
              <w:bottom w:val="nil"/>
              <w:right w:val="nil"/>
            </w:tcBorders>
            <w:shd w:val="clear" w:color="auto" w:fill="auto"/>
            <w:noWrap/>
            <w:vAlign w:val="center"/>
            <w:hideMark/>
          </w:tcPr>
          <w:p w14:paraId="6149C3D6" w14:textId="77777777" w:rsidR="00847F65" w:rsidRPr="005E2B4C" w:rsidRDefault="00847F65" w:rsidP="00090E3A">
            <w:pPr>
              <w:jc w:val="center"/>
              <w:rPr>
                <w:color w:val="000000"/>
                <w:sz w:val="16"/>
                <w:szCs w:val="16"/>
              </w:rPr>
            </w:pPr>
            <w:r w:rsidRPr="005E2B4C">
              <w:rPr>
                <w:color w:val="000000"/>
                <w:sz w:val="16"/>
                <w:szCs w:val="16"/>
              </w:rPr>
              <w:t>(0.0156)</w:t>
            </w:r>
          </w:p>
        </w:tc>
        <w:tc>
          <w:tcPr>
            <w:tcW w:w="0" w:type="auto"/>
            <w:tcBorders>
              <w:top w:val="nil"/>
              <w:left w:val="single" w:sz="4" w:space="0" w:color="auto"/>
              <w:bottom w:val="nil"/>
              <w:right w:val="nil"/>
            </w:tcBorders>
            <w:shd w:val="clear" w:color="auto" w:fill="auto"/>
            <w:noWrap/>
            <w:vAlign w:val="center"/>
            <w:hideMark/>
          </w:tcPr>
          <w:p w14:paraId="65EAC14E" w14:textId="77777777" w:rsidR="00847F65" w:rsidRPr="005E2B4C" w:rsidRDefault="00847F65" w:rsidP="00090E3A">
            <w:pPr>
              <w:jc w:val="center"/>
              <w:rPr>
                <w:color w:val="000000"/>
                <w:sz w:val="16"/>
                <w:szCs w:val="16"/>
              </w:rPr>
            </w:pPr>
            <w:r w:rsidRPr="005E2B4C">
              <w:rPr>
                <w:color w:val="000000"/>
                <w:sz w:val="16"/>
                <w:szCs w:val="16"/>
              </w:rPr>
              <w:t>(0.016)</w:t>
            </w:r>
          </w:p>
        </w:tc>
        <w:tc>
          <w:tcPr>
            <w:tcW w:w="0" w:type="auto"/>
            <w:tcBorders>
              <w:top w:val="nil"/>
              <w:left w:val="nil"/>
              <w:bottom w:val="nil"/>
              <w:right w:val="nil"/>
            </w:tcBorders>
            <w:shd w:val="clear" w:color="auto" w:fill="auto"/>
            <w:noWrap/>
            <w:vAlign w:val="center"/>
            <w:hideMark/>
          </w:tcPr>
          <w:p w14:paraId="7A06C1FF" w14:textId="77777777" w:rsidR="00847F65" w:rsidRPr="005E2B4C" w:rsidRDefault="00847F65" w:rsidP="00090E3A">
            <w:pPr>
              <w:jc w:val="center"/>
              <w:rPr>
                <w:color w:val="000000"/>
                <w:sz w:val="16"/>
                <w:szCs w:val="16"/>
              </w:rPr>
            </w:pPr>
            <w:r w:rsidRPr="005E2B4C">
              <w:rPr>
                <w:color w:val="000000"/>
                <w:sz w:val="16"/>
                <w:szCs w:val="16"/>
              </w:rPr>
              <w:t>(0.0142)</w:t>
            </w:r>
          </w:p>
        </w:tc>
        <w:tc>
          <w:tcPr>
            <w:tcW w:w="0" w:type="auto"/>
            <w:tcBorders>
              <w:top w:val="nil"/>
              <w:left w:val="nil"/>
              <w:bottom w:val="nil"/>
              <w:right w:val="nil"/>
            </w:tcBorders>
            <w:shd w:val="clear" w:color="auto" w:fill="auto"/>
            <w:noWrap/>
            <w:vAlign w:val="center"/>
            <w:hideMark/>
          </w:tcPr>
          <w:p w14:paraId="704D4CB8" w14:textId="77777777" w:rsidR="00847F65" w:rsidRPr="005E2B4C" w:rsidRDefault="00847F65" w:rsidP="00090E3A">
            <w:pPr>
              <w:jc w:val="center"/>
              <w:rPr>
                <w:color w:val="000000"/>
                <w:sz w:val="16"/>
                <w:szCs w:val="16"/>
              </w:rPr>
            </w:pPr>
            <w:r w:rsidRPr="005E2B4C">
              <w:rPr>
                <w:color w:val="000000"/>
                <w:sz w:val="16"/>
                <w:szCs w:val="16"/>
              </w:rPr>
              <w:t>(0.0184)</w:t>
            </w:r>
          </w:p>
        </w:tc>
        <w:tc>
          <w:tcPr>
            <w:tcW w:w="0" w:type="auto"/>
            <w:tcBorders>
              <w:top w:val="nil"/>
              <w:left w:val="nil"/>
              <w:bottom w:val="nil"/>
              <w:right w:val="nil"/>
            </w:tcBorders>
            <w:shd w:val="clear" w:color="auto" w:fill="auto"/>
            <w:noWrap/>
            <w:vAlign w:val="center"/>
            <w:hideMark/>
          </w:tcPr>
          <w:p w14:paraId="60851D10" w14:textId="77777777" w:rsidR="00847F65" w:rsidRPr="005E2B4C" w:rsidRDefault="00847F65" w:rsidP="00090E3A">
            <w:pPr>
              <w:jc w:val="center"/>
              <w:rPr>
                <w:color w:val="000000"/>
                <w:sz w:val="16"/>
                <w:szCs w:val="16"/>
              </w:rPr>
            </w:pPr>
            <w:r w:rsidRPr="005E2B4C">
              <w:rPr>
                <w:color w:val="000000"/>
                <w:sz w:val="16"/>
                <w:szCs w:val="16"/>
              </w:rPr>
              <w:t>(0.0164)</w:t>
            </w:r>
          </w:p>
        </w:tc>
      </w:tr>
      <w:tr w:rsidR="006A00B7" w:rsidRPr="005E2B4C" w14:paraId="3EFE2CDA" w14:textId="77777777" w:rsidTr="006A00B7">
        <w:trPr>
          <w:trHeight w:val="300"/>
        </w:trPr>
        <w:tc>
          <w:tcPr>
            <w:tcW w:w="0" w:type="auto"/>
            <w:tcBorders>
              <w:top w:val="nil"/>
              <w:left w:val="nil"/>
              <w:bottom w:val="nil"/>
              <w:right w:val="nil"/>
            </w:tcBorders>
            <w:shd w:val="clear" w:color="auto" w:fill="auto"/>
            <w:noWrap/>
            <w:vAlign w:val="center"/>
            <w:hideMark/>
          </w:tcPr>
          <w:p w14:paraId="6615F368" w14:textId="77777777" w:rsidR="00847F65" w:rsidRPr="005E2B4C" w:rsidRDefault="00847F65" w:rsidP="00090E3A">
            <w:pPr>
              <w:jc w:val="center"/>
              <w:rPr>
                <w:color w:val="000000"/>
                <w:sz w:val="16"/>
                <w:szCs w:val="16"/>
              </w:rPr>
            </w:pPr>
            <m:oMathPara>
              <m:oMath>
                <m:r>
                  <w:rPr>
                    <w:rFonts w:ascii="Cambria Math" w:hAnsi="Cambria Math"/>
                    <w:color w:val="000000"/>
                    <w:sz w:val="16"/>
                    <w:szCs w:val="16"/>
                  </w:rPr>
                  <m:t xml:space="preserve">∆ </m:t>
                </m:r>
                <m:sSub>
                  <m:sSubPr>
                    <m:ctrlPr>
                      <w:rPr>
                        <w:rFonts w:ascii="Cambria Math" w:hAnsi="Cambria Math"/>
                        <w:i/>
                        <w:color w:val="000000"/>
                        <w:sz w:val="16"/>
                        <w:szCs w:val="16"/>
                      </w:rPr>
                    </m:ctrlPr>
                  </m:sSubPr>
                  <m:e>
                    <m:r>
                      <w:rPr>
                        <w:rFonts w:ascii="Cambria Math" w:hAnsi="Cambria Math"/>
                        <w:color w:val="000000"/>
                        <w:sz w:val="16"/>
                        <w:szCs w:val="16"/>
                      </w:rPr>
                      <m:t>full cont</m:t>
                    </m:r>
                  </m:e>
                  <m:sub>
                    <m:r>
                      <w:rPr>
                        <w:rFonts w:ascii="Cambria Math" w:hAnsi="Cambria Math"/>
                        <w:color w:val="000000"/>
                        <w:sz w:val="16"/>
                        <w:szCs w:val="16"/>
                      </w:rPr>
                      <m:t>ij,t-1</m:t>
                    </m:r>
                  </m:sub>
                </m:sSub>
              </m:oMath>
            </m:oMathPara>
          </w:p>
        </w:tc>
        <w:tc>
          <w:tcPr>
            <w:tcW w:w="0" w:type="auto"/>
            <w:tcBorders>
              <w:top w:val="nil"/>
              <w:left w:val="nil"/>
              <w:bottom w:val="nil"/>
              <w:right w:val="nil"/>
            </w:tcBorders>
            <w:shd w:val="clear" w:color="auto" w:fill="auto"/>
            <w:noWrap/>
            <w:vAlign w:val="center"/>
            <w:hideMark/>
          </w:tcPr>
          <w:p w14:paraId="7327C035" w14:textId="77777777" w:rsidR="00847F65" w:rsidRPr="005E2B4C" w:rsidRDefault="00847F65" w:rsidP="00090E3A">
            <w:pPr>
              <w:jc w:val="center"/>
              <w:rPr>
                <w:color w:val="000000"/>
                <w:sz w:val="16"/>
                <w:szCs w:val="16"/>
              </w:rPr>
            </w:pPr>
            <w:r w:rsidRPr="005E2B4C">
              <w:rPr>
                <w:color w:val="000000"/>
                <w:sz w:val="16"/>
                <w:szCs w:val="16"/>
              </w:rPr>
              <w:t>0.665***</w:t>
            </w:r>
          </w:p>
        </w:tc>
        <w:tc>
          <w:tcPr>
            <w:tcW w:w="0" w:type="auto"/>
            <w:tcBorders>
              <w:top w:val="nil"/>
              <w:left w:val="nil"/>
              <w:bottom w:val="nil"/>
              <w:right w:val="nil"/>
            </w:tcBorders>
            <w:shd w:val="clear" w:color="auto" w:fill="auto"/>
            <w:noWrap/>
            <w:vAlign w:val="center"/>
            <w:hideMark/>
          </w:tcPr>
          <w:p w14:paraId="5705B2E1" w14:textId="77777777" w:rsidR="00847F65" w:rsidRPr="005E2B4C" w:rsidRDefault="00847F65" w:rsidP="00090E3A">
            <w:pPr>
              <w:jc w:val="center"/>
              <w:rPr>
                <w:color w:val="000000"/>
                <w:sz w:val="16"/>
                <w:szCs w:val="16"/>
              </w:rPr>
            </w:pPr>
            <w:r w:rsidRPr="005E2B4C">
              <w:rPr>
                <w:color w:val="000000"/>
                <w:sz w:val="16"/>
                <w:szCs w:val="16"/>
              </w:rPr>
              <w:t>0.653***</w:t>
            </w:r>
          </w:p>
        </w:tc>
        <w:tc>
          <w:tcPr>
            <w:tcW w:w="0" w:type="auto"/>
            <w:tcBorders>
              <w:top w:val="nil"/>
              <w:left w:val="nil"/>
              <w:bottom w:val="nil"/>
              <w:right w:val="nil"/>
            </w:tcBorders>
            <w:shd w:val="clear" w:color="auto" w:fill="auto"/>
            <w:noWrap/>
            <w:vAlign w:val="center"/>
            <w:hideMark/>
          </w:tcPr>
          <w:p w14:paraId="10AC44DF" w14:textId="77777777" w:rsidR="00847F65" w:rsidRPr="005E2B4C" w:rsidRDefault="00847F65" w:rsidP="00090E3A">
            <w:pPr>
              <w:jc w:val="center"/>
              <w:rPr>
                <w:color w:val="000000"/>
                <w:sz w:val="16"/>
                <w:szCs w:val="16"/>
              </w:rPr>
            </w:pPr>
            <w:r w:rsidRPr="005E2B4C">
              <w:rPr>
                <w:color w:val="000000"/>
                <w:sz w:val="16"/>
                <w:szCs w:val="16"/>
              </w:rPr>
              <w:t>0.578***</w:t>
            </w:r>
          </w:p>
        </w:tc>
        <w:tc>
          <w:tcPr>
            <w:tcW w:w="0" w:type="auto"/>
            <w:tcBorders>
              <w:top w:val="nil"/>
              <w:left w:val="nil"/>
              <w:bottom w:val="nil"/>
              <w:right w:val="nil"/>
            </w:tcBorders>
            <w:shd w:val="clear" w:color="auto" w:fill="auto"/>
            <w:noWrap/>
            <w:vAlign w:val="center"/>
            <w:hideMark/>
          </w:tcPr>
          <w:p w14:paraId="3BDADE67" w14:textId="77777777" w:rsidR="00847F65" w:rsidRPr="005E2B4C" w:rsidRDefault="00847F65" w:rsidP="00090E3A">
            <w:pPr>
              <w:jc w:val="center"/>
              <w:rPr>
                <w:color w:val="000000"/>
                <w:sz w:val="16"/>
                <w:szCs w:val="16"/>
              </w:rPr>
            </w:pPr>
            <w:r w:rsidRPr="005E2B4C">
              <w:rPr>
                <w:color w:val="000000"/>
                <w:sz w:val="16"/>
                <w:szCs w:val="16"/>
              </w:rPr>
              <w:t>0.551***</w:t>
            </w:r>
          </w:p>
        </w:tc>
        <w:tc>
          <w:tcPr>
            <w:tcW w:w="0" w:type="auto"/>
            <w:tcBorders>
              <w:top w:val="nil"/>
              <w:left w:val="single" w:sz="4" w:space="0" w:color="auto"/>
              <w:bottom w:val="nil"/>
              <w:right w:val="nil"/>
            </w:tcBorders>
            <w:shd w:val="clear" w:color="auto" w:fill="auto"/>
            <w:noWrap/>
            <w:vAlign w:val="center"/>
            <w:hideMark/>
          </w:tcPr>
          <w:p w14:paraId="5692E285" w14:textId="77777777" w:rsidR="00847F65" w:rsidRPr="005E2B4C" w:rsidRDefault="00847F65" w:rsidP="00090E3A">
            <w:pPr>
              <w:jc w:val="center"/>
              <w:rPr>
                <w:color w:val="000000"/>
                <w:sz w:val="16"/>
                <w:szCs w:val="16"/>
              </w:rPr>
            </w:pPr>
            <w:r w:rsidRPr="005E2B4C">
              <w:rPr>
                <w:color w:val="000000"/>
                <w:sz w:val="16"/>
                <w:szCs w:val="16"/>
              </w:rPr>
              <w:t>0.733***</w:t>
            </w:r>
          </w:p>
        </w:tc>
        <w:tc>
          <w:tcPr>
            <w:tcW w:w="0" w:type="auto"/>
            <w:tcBorders>
              <w:top w:val="nil"/>
              <w:left w:val="nil"/>
              <w:bottom w:val="nil"/>
              <w:right w:val="nil"/>
            </w:tcBorders>
            <w:shd w:val="clear" w:color="auto" w:fill="auto"/>
            <w:noWrap/>
            <w:vAlign w:val="center"/>
            <w:hideMark/>
          </w:tcPr>
          <w:p w14:paraId="5C08DEA2" w14:textId="77777777" w:rsidR="00847F65" w:rsidRPr="005E2B4C" w:rsidRDefault="00847F65" w:rsidP="00090E3A">
            <w:pPr>
              <w:jc w:val="center"/>
              <w:rPr>
                <w:color w:val="000000"/>
                <w:sz w:val="16"/>
                <w:szCs w:val="16"/>
              </w:rPr>
            </w:pPr>
            <w:r w:rsidRPr="005E2B4C">
              <w:rPr>
                <w:color w:val="000000"/>
                <w:sz w:val="16"/>
                <w:szCs w:val="16"/>
              </w:rPr>
              <w:t>0.715***</w:t>
            </w:r>
          </w:p>
        </w:tc>
        <w:tc>
          <w:tcPr>
            <w:tcW w:w="0" w:type="auto"/>
            <w:tcBorders>
              <w:top w:val="nil"/>
              <w:left w:val="nil"/>
              <w:bottom w:val="nil"/>
              <w:right w:val="nil"/>
            </w:tcBorders>
            <w:shd w:val="clear" w:color="auto" w:fill="auto"/>
            <w:noWrap/>
            <w:vAlign w:val="center"/>
            <w:hideMark/>
          </w:tcPr>
          <w:p w14:paraId="5B51D048" w14:textId="77777777" w:rsidR="00847F65" w:rsidRPr="005E2B4C" w:rsidRDefault="00847F65" w:rsidP="00090E3A">
            <w:pPr>
              <w:jc w:val="center"/>
              <w:rPr>
                <w:color w:val="000000"/>
                <w:sz w:val="16"/>
                <w:szCs w:val="16"/>
              </w:rPr>
            </w:pPr>
            <w:r w:rsidRPr="005E2B4C">
              <w:rPr>
                <w:color w:val="000000"/>
                <w:sz w:val="16"/>
                <w:szCs w:val="16"/>
              </w:rPr>
              <w:t>0.639***</w:t>
            </w:r>
          </w:p>
        </w:tc>
        <w:tc>
          <w:tcPr>
            <w:tcW w:w="0" w:type="auto"/>
            <w:tcBorders>
              <w:top w:val="nil"/>
              <w:left w:val="nil"/>
              <w:bottom w:val="nil"/>
              <w:right w:val="nil"/>
            </w:tcBorders>
            <w:shd w:val="clear" w:color="auto" w:fill="auto"/>
            <w:noWrap/>
            <w:vAlign w:val="center"/>
            <w:hideMark/>
          </w:tcPr>
          <w:p w14:paraId="6CB0356B" w14:textId="77777777" w:rsidR="00847F65" w:rsidRPr="005E2B4C" w:rsidRDefault="00847F65" w:rsidP="00090E3A">
            <w:pPr>
              <w:jc w:val="center"/>
              <w:rPr>
                <w:color w:val="000000"/>
                <w:sz w:val="16"/>
                <w:szCs w:val="16"/>
              </w:rPr>
            </w:pPr>
            <w:r w:rsidRPr="005E2B4C">
              <w:rPr>
                <w:color w:val="000000"/>
                <w:sz w:val="16"/>
                <w:szCs w:val="16"/>
              </w:rPr>
              <w:t>0.608***</w:t>
            </w:r>
          </w:p>
        </w:tc>
      </w:tr>
      <w:tr w:rsidR="006A00B7" w:rsidRPr="005E2B4C" w14:paraId="0F29E9B7" w14:textId="77777777" w:rsidTr="006A00B7">
        <w:trPr>
          <w:trHeight w:val="300"/>
        </w:trPr>
        <w:tc>
          <w:tcPr>
            <w:tcW w:w="0" w:type="auto"/>
            <w:tcBorders>
              <w:top w:val="nil"/>
              <w:left w:val="nil"/>
              <w:bottom w:val="nil"/>
              <w:right w:val="nil"/>
            </w:tcBorders>
            <w:shd w:val="clear" w:color="auto" w:fill="auto"/>
            <w:noWrap/>
            <w:vAlign w:val="center"/>
            <w:hideMark/>
          </w:tcPr>
          <w:p w14:paraId="380B7F16" w14:textId="77777777" w:rsidR="00847F65" w:rsidRPr="005E2B4C" w:rsidRDefault="00847F65" w:rsidP="00090E3A">
            <w:pPr>
              <w:jc w:val="center"/>
              <w:rPr>
                <w:color w:val="000000"/>
                <w:sz w:val="16"/>
                <w:szCs w:val="16"/>
              </w:rPr>
            </w:pPr>
          </w:p>
        </w:tc>
        <w:tc>
          <w:tcPr>
            <w:tcW w:w="0" w:type="auto"/>
            <w:tcBorders>
              <w:top w:val="nil"/>
              <w:left w:val="nil"/>
              <w:bottom w:val="nil"/>
              <w:right w:val="nil"/>
            </w:tcBorders>
            <w:shd w:val="clear" w:color="auto" w:fill="auto"/>
            <w:noWrap/>
            <w:vAlign w:val="center"/>
            <w:hideMark/>
          </w:tcPr>
          <w:p w14:paraId="2C174B4E" w14:textId="77777777" w:rsidR="00847F65" w:rsidRPr="005E2B4C" w:rsidRDefault="00847F65" w:rsidP="00090E3A">
            <w:pPr>
              <w:jc w:val="center"/>
              <w:rPr>
                <w:color w:val="000000"/>
                <w:sz w:val="16"/>
                <w:szCs w:val="16"/>
              </w:rPr>
            </w:pPr>
            <w:r w:rsidRPr="005E2B4C">
              <w:rPr>
                <w:color w:val="000000"/>
                <w:sz w:val="16"/>
                <w:szCs w:val="16"/>
              </w:rPr>
              <w:t>(0.0152)</w:t>
            </w:r>
          </w:p>
        </w:tc>
        <w:tc>
          <w:tcPr>
            <w:tcW w:w="0" w:type="auto"/>
            <w:tcBorders>
              <w:top w:val="nil"/>
              <w:left w:val="nil"/>
              <w:bottom w:val="nil"/>
              <w:right w:val="nil"/>
            </w:tcBorders>
            <w:shd w:val="clear" w:color="auto" w:fill="auto"/>
            <w:noWrap/>
            <w:vAlign w:val="center"/>
            <w:hideMark/>
          </w:tcPr>
          <w:p w14:paraId="14B0C0C9" w14:textId="77777777" w:rsidR="00847F65" w:rsidRPr="005E2B4C" w:rsidRDefault="00847F65" w:rsidP="00090E3A">
            <w:pPr>
              <w:jc w:val="center"/>
              <w:rPr>
                <w:color w:val="000000"/>
                <w:sz w:val="16"/>
                <w:szCs w:val="16"/>
              </w:rPr>
            </w:pPr>
            <w:r w:rsidRPr="005E2B4C">
              <w:rPr>
                <w:color w:val="000000"/>
                <w:sz w:val="16"/>
                <w:szCs w:val="16"/>
              </w:rPr>
              <w:t>(0.0135)</w:t>
            </w:r>
          </w:p>
        </w:tc>
        <w:tc>
          <w:tcPr>
            <w:tcW w:w="0" w:type="auto"/>
            <w:tcBorders>
              <w:top w:val="nil"/>
              <w:left w:val="nil"/>
              <w:bottom w:val="nil"/>
              <w:right w:val="nil"/>
            </w:tcBorders>
            <w:shd w:val="clear" w:color="auto" w:fill="auto"/>
            <w:noWrap/>
            <w:vAlign w:val="center"/>
            <w:hideMark/>
          </w:tcPr>
          <w:p w14:paraId="5BE0A381" w14:textId="77777777" w:rsidR="00847F65" w:rsidRPr="005E2B4C" w:rsidRDefault="00847F65" w:rsidP="00090E3A">
            <w:pPr>
              <w:jc w:val="center"/>
              <w:rPr>
                <w:color w:val="000000"/>
                <w:sz w:val="16"/>
                <w:szCs w:val="16"/>
              </w:rPr>
            </w:pPr>
            <w:r w:rsidRPr="005E2B4C">
              <w:rPr>
                <w:color w:val="000000"/>
                <w:sz w:val="16"/>
                <w:szCs w:val="16"/>
              </w:rPr>
              <w:t>(0.0179)</w:t>
            </w:r>
          </w:p>
        </w:tc>
        <w:tc>
          <w:tcPr>
            <w:tcW w:w="0" w:type="auto"/>
            <w:tcBorders>
              <w:top w:val="nil"/>
              <w:left w:val="nil"/>
              <w:bottom w:val="nil"/>
              <w:right w:val="nil"/>
            </w:tcBorders>
            <w:shd w:val="clear" w:color="auto" w:fill="auto"/>
            <w:noWrap/>
            <w:vAlign w:val="center"/>
            <w:hideMark/>
          </w:tcPr>
          <w:p w14:paraId="53ED6673" w14:textId="77777777" w:rsidR="00847F65" w:rsidRPr="005E2B4C" w:rsidRDefault="00847F65" w:rsidP="00090E3A">
            <w:pPr>
              <w:jc w:val="center"/>
              <w:rPr>
                <w:color w:val="000000"/>
                <w:sz w:val="16"/>
                <w:szCs w:val="16"/>
              </w:rPr>
            </w:pPr>
            <w:r w:rsidRPr="005E2B4C">
              <w:rPr>
                <w:color w:val="000000"/>
                <w:sz w:val="16"/>
                <w:szCs w:val="16"/>
              </w:rPr>
              <w:t>(0.016)</w:t>
            </w:r>
          </w:p>
        </w:tc>
        <w:tc>
          <w:tcPr>
            <w:tcW w:w="0" w:type="auto"/>
            <w:tcBorders>
              <w:top w:val="nil"/>
              <w:left w:val="single" w:sz="4" w:space="0" w:color="auto"/>
              <w:bottom w:val="nil"/>
              <w:right w:val="nil"/>
            </w:tcBorders>
            <w:shd w:val="clear" w:color="auto" w:fill="auto"/>
            <w:noWrap/>
            <w:vAlign w:val="center"/>
            <w:hideMark/>
          </w:tcPr>
          <w:p w14:paraId="55803AC5" w14:textId="77777777" w:rsidR="00847F65" w:rsidRPr="005E2B4C" w:rsidRDefault="00847F65" w:rsidP="00090E3A">
            <w:pPr>
              <w:jc w:val="center"/>
              <w:rPr>
                <w:color w:val="000000"/>
                <w:sz w:val="16"/>
                <w:szCs w:val="16"/>
              </w:rPr>
            </w:pPr>
            <w:r w:rsidRPr="005E2B4C">
              <w:rPr>
                <w:color w:val="000000"/>
                <w:sz w:val="16"/>
                <w:szCs w:val="16"/>
              </w:rPr>
              <w:t>(0.0158)</w:t>
            </w:r>
          </w:p>
        </w:tc>
        <w:tc>
          <w:tcPr>
            <w:tcW w:w="0" w:type="auto"/>
            <w:tcBorders>
              <w:top w:val="nil"/>
              <w:left w:val="nil"/>
              <w:bottom w:val="nil"/>
              <w:right w:val="nil"/>
            </w:tcBorders>
            <w:shd w:val="clear" w:color="auto" w:fill="auto"/>
            <w:noWrap/>
            <w:vAlign w:val="center"/>
            <w:hideMark/>
          </w:tcPr>
          <w:p w14:paraId="335B6E1C" w14:textId="77777777" w:rsidR="00847F65" w:rsidRPr="005E2B4C" w:rsidRDefault="00847F65" w:rsidP="00090E3A">
            <w:pPr>
              <w:jc w:val="center"/>
              <w:rPr>
                <w:color w:val="000000"/>
                <w:sz w:val="16"/>
                <w:szCs w:val="16"/>
              </w:rPr>
            </w:pPr>
            <w:r w:rsidRPr="005E2B4C">
              <w:rPr>
                <w:color w:val="000000"/>
                <w:sz w:val="16"/>
                <w:szCs w:val="16"/>
              </w:rPr>
              <w:t>(0.014)</w:t>
            </w:r>
          </w:p>
        </w:tc>
        <w:tc>
          <w:tcPr>
            <w:tcW w:w="0" w:type="auto"/>
            <w:tcBorders>
              <w:top w:val="nil"/>
              <w:left w:val="nil"/>
              <w:bottom w:val="nil"/>
              <w:right w:val="nil"/>
            </w:tcBorders>
            <w:shd w:val="clear" w:color="auto" w:fill="auto"/>
            <w:noWrap/>
            <w:vAlign w:val="center"/>
            <w:hideMark/>
          </w:tcPr>
          <w:p w14:paraId="559BFA24" w14:textId="77777777" w:rsidR="00847F65" w:rsidRPr="005E2B4C" w:rsidRDefault="00847F65" w:rsidP="00090E3A">
            <w:pPr>
              <w:jc w:val="center"/>
              <w:rPr>
                <w:color w:val="000000"/>
                <w:sz w:val="16"/>
                <w:szCs w:val="16"/>
              </w:rPr>
            </w:pPr>
            <w:r w:rsidRPr="005E2B4C">
              <w:rPr>
                <w:color w:val="000000"/>
                <w:sz w:val="16"/>
                <w:szCs w:val="16"/>
              </w:rPr>
              <w:t>(0.0187)</w:t>
            </w:r>
          </w:p>
        </w:tc>
        <w:tc>
          <w:tcPr>
            <w:tcW w:w="0" w:type="auto"/>
            <w:tcBorders>
              <w:top w:val="nil"/>
              <w:left w:val="nil"/>
              <w:bottom w:val="nil"/>
              <w:right w:val="nil"/>
            </w:tcBorders>
            <w:shd w:val="clear" w:color="auto" w:fill="auto"/>
            <w:noWrap/>
            <w:vAlign w:val="center"/>
            <w:hideMark/>
          </w:tcPr>
          <w:p w14:paraId="5BD82C57" w14:textId="77777777" w:rsidR="00847F65" w:rsidRPr="005E2B4C" w:rsidRDefault="00847F65" w:rsidP="00090E3A">
            <w:pPr>
              <w:jc w:val="center"/>
              <w:rPr>
                <w:color w:val="000000"/>
                <w:sz w:val="16"/>
                <w:szCs w:val="16"/>
              </w:rPr>
            </w:pPr>
            <w:r w:rsidRPr="005E2B4C">
              <w:rPr>
                <w:color w:val="000000"/>
                <w:sz w:val="16"/>
                <w:szCs w:val="16"/>
              </w:rPr>
              <w:t>(0.0166)</w:t>
            </w:r>
          </w:p>
        </w:tc>
      </w:tr>
      <w:tr w:rsidR="006A00B7" w:rsidRPr="005E2B4C" w14:paraId="665A3253" w14:textId="77777777" w:rsidTr="006A00B7">
        <w:trPr>
          <w:trHeight w:val="300"/>
        </w:trPr>
        <w:tc>
          <w:tcPr>
            <w:tcW w:w="0" w:type="auto"/>
            <w:tcBorders>
              <w:top w:val="nil"/>
              <w:left w:val="nil"/>
              <w:bottom w:val="nil"/>
              <w:right w:val="nil"/>
            </w:tcBorders>
            <w:shd w:val="clear" w:color="auto" w:fill="auto"/>
            <w:noWrap/>
            <w:vAlign w:val="center"/>
            <w:hideMark/>
          </w:tcPr>
          <w:p w14:paraId="55F7B85E" w14:textId="77777777" w:rsidR="00847F65" w:rsidRPr="005E2B4C" w:rsidRDefault="00847F65" w:rsidP="00090E3A">
            <w:pPr>
              <w:jc w:val="center"/>
              <w:rPr>
                <w:color w:val="000000"/>
                <w:sz w:val="16"/>
                <w:szCs w:val="16"/>
              </w:rPr>
            </w:pPr>
            <m:oMathPara>
              <m:oMath>
                <m:r>
                  <w:rPr>
                    <w:rFonts w:ascii="Cambria Math" w:hAnsi="Cambria Math"/>
                    <w:color w:val="000000"/>
                    <w:sz w:val="16"/>
                    <w:szCs w:val="16"/>
                  </w:rPr>
                  <m:t xml:space="preserve">∆ </m:t>
                </m:r>
                <m:sSub>
                  <m:sSubPr>
                    <m:ctrlPr>
                      <w:rPr>
                        <w:rFonts w:ascii="Cambria Math" w:hAnsi="Cambria Math"/>
                        <w:i/>
                        <w:color w:val="000000"/>
                        <w:sz w:val="16"/>
                        <w:szCs w:val="16"/>
                      </w:rPr>
                    </m:ctrlPr>
                  </m:sSubPr>
                  <m:e>
                    <m:r>
                      <w:rPr>
                        <w:rFonts w:ascii="Cambria Math" w:hAnsi="Cambria Math"/>
                        <w:color w:val="000000"/>
                        <w:sz w:val="16"/>
                        <w:szCs w:val="16"/>
                      </w:rPr>
                      <m:t>full cont</m:t>
                    </m:r>
                  </m:e>
                  <m:sub>
                    <m:r>
                      <w:rPr>
                        <w:rFonts w:ascii="Cambria Math" w:hAnsi="Cambria Math"/>
                        <w:color w:val="000000"/>
                        <w:sz w:val="16"/>
                        <w:szCs w:val="16"/>
                      </w:rPr>
                      <m:t>ij,t-2</m:t>
                    </m:r>
                  </m:sub>
                </m:sSub>
              </m:oMath>
            </m:oMathPara>
          </w:p>
        </w:tc>
        <w:tc>
          <w:tcPr>
            <w:tcW w:w="0" w:type="auto"/>
            <w:tcBorders>
              <w:top w:val="nil"/>
              <w:left w:val="nil"/>
              <w:bottom w:val="nil"/>
              <w:right w:val="nil"/>
            </w:tcBorders>
            <w:shd w:val="clear" w:color="auto" w:fill="auto"/>
            <w:noWrap/>
            <w:vAlign w:val="center"/>
            <w:hideMark/>
          </w:tcPr>
          <w:p w14:paraId="1B68D268" w14:textId="77777777" w:rsidR="00847F65" w:rsidRPr="005E2B4C" w:rsidRDefault="00847F65" w:rsidP="00090E3A">
            <w:pPr>
              <w:jc w:val="center"/>
              <w:rPr>
                <w:color w:val="000000"/>
                <w:sz w:val="16"/>
                <w:szCs w:val="16"/>
              </w:rPr>
            </w:pPr>
            <w:r w:rsidRPr="005E2B4C">
              <w:rPr>
                <w:color w:val="000000"/>
                <w:sz w:val="16"/>
                <w:szCs w:val="16"/>
              </w:rPr>
              <w:t>0.230***</w:t>
            </w:r>
          </w:p>
        </w:tc>
        <w:tc>
          <w:tcPr>
            <w:tcW w:w="0" w:type="auto"/>
            <w:tcBorders>
              <w:top w:val="nil"/>
              <w:left w:val="nil"/>
              <w:bottom w:val="nil"/>
              <w:right w:val="nil"/>
            </w:tcBorders>
            <w:shd w:val="clear" w:color="auto" w:fill="auto"/>
            <w:noWrap/>
            <w:vAlign w:val="center"/>
            <w:hideMark/>
          </w:tcPr>
          <w:p w14:paraId="1F5C949C" w14:textId="77777777" w:rsidR="00847F65" w:rsidRPr="005E2B4C" w:rsidRDefault="00847F65" w:rsidP="00090E3A">
            <w:pPr>
              <w:jc w:val="center"/>
              <w:rPr>
                <w:color w:val="000000"/>
                <w:sz w:val="16"/>
                <w:szCs w:val="16"/>
              </w:rPr>
            </w:pPr>
            <w:r w:rsidRPr="005E2B4C">
              <w:rPr>
                <w:color w:val="000000"/>
                <w:sz w:val="16"/>
                <w:szCs w:val="16"/>
              </w:rPr>
              <w:t>0.236***</w:t>
            </w:r>
          </w:p>
        </w:tc>
        <w:tc>
          <w:tcPr>
            <w:tcW w:w="0" w:type="auto"/>
            <w:tcBorders>
              <w:top w:val="nil"/>
              <w:left w:val="nil"/>
              <w:bottom w:val="nil"/>
              <w:right w:val="nil"/>
            </w:tcBorders>
            <w:shd w:val="clear" w:color="auto" w:fill="auto"/>
            <w:noWrap/>
            <w:vAlign w:val="center"/>
            <w:hideMark/>
          </w:tcPr>
          <w:p w14:paraId="3DBDDA52" w14:textId="77777777" w:rsidR="00847F65" w:rsidRPr="005E2B4C" w:rsidRDefault="00847F65" w:rsidP="00090E3A">
            <w:pPr>
              <w:jc w:val="center"/>
              <w:rPr>
                <w:color w:val="000000"/>
                <w:sz w:val="16"/>
                <w:szCs w:val="16"/>
              </w:rPr>
            </w:pPr>
            <w:r w:rsidRPr="005E2B4C">
              <w:rPr>
                <w:color w:val="000000"/>
                <w:sz w:val="16"/>
                <w:szCs w:val="16"/>
              </w:rPr>
              <w:t>0.059***</w:t>
            </w:r>
          </w:p>
        </w:tc>
        <w:tc>
          <w:tcPr>
            <w:tcW w:w="0" w:type="auto"/>
            <w:tcBorders>
              <w:top w:val="nil"/>
              <w:left w:val="nil"/>
              <w:bottom w:val="nil"/>
              <w:right w:val="nil"/>
            </w:tcBorders>
            <w:shd w:val="clear" w:color="auto" w:fill="auto"/>
            <w:noWrap/>
            <w:vAlign w:val="center"/>
            <w:hideMark/>
          </w:tcPr>
          <w:p w14:paraId="376D57BA" w14:textId="77777777" w:rsidR="00847F65" w:rsidRPr="005E2B4C" w:rsidRDefault="00847F65" w:rsidP="00090E3A">
            <w:pPr>
              <w:jc w:val="center"/>
              <w:rPr>
                <w:color w:val="000000"/>
                <w:sz w:val="16"/>
                <w:szCs w:val="16"/>
              </w:rPr>
            </w:pPr>
            <w:r w:rsidRPr="005E2B4C">
              <w:rPr>
                <w:color w:val="000000"/>
                <w:sz w:val="16"/>
                <w:szCs w:val="16"/>
              </w:rPr>
              <w:t>0.040***</w:t>
            </w:r>
          </w:p>
        </w:tc>
        <w:tc>
          <w:tcPr>
            <w:tcW w:w="0" w:type="auto"/>
            <w:tcBorders>
              <w:top w:val="nil"/>
              <w:left w:val="single" w:sz="4" w:space="0" w:color="auto"/>
              <w:bottom w:val="nil"/>
              <w:right w:val="nil"/>
            </w:tcBorders>
            <w:shd w:val="clear" w:color="auto" w:fill="auto"/>
            <w:noWrap/>
            <w:vAlign w:val="center"/>
            <w:hideMark/>
          </w:tcPr>
          <w:p w14:paraId="78CB4F89" w14:textId="77777777" w:rsidR="00847F65" w:rsidRPr="005E2B4C" w:rsidRDefault="00847F65" w:rsidP="00090E3A">
            <w:pPr>
              <w:jc w:val="center"/>
              <w:rPr>
                <w:color w:val="000000"/>
                <w:sz w:val="16"/>
                <w:szCs w:val="16"/>
              </w:rPr>
            </w:pPr>
            <w:r w:rsidRPr="005E2B4C">
              <w:rPr>
                <w:color w:val="000000"/>
                <w:sz w:val="16"/>
                <w:szCs w:val="16"/>
              </w:rPr>
              <w:t>0.269***</w:t>
            </w:r>
          </w:p>
        </w:tc>
        <w:tc>
          <w:tcPr>
            <w:tcW w:w="0" w:type="auto"/>
            <w:tcBorders>
              <w:top w:val="nil"/>
              <w:left w:val="nil"/>
              <w:bottom w:val="nil"/>
              <w:right w:val="nil"/>
            </w:tcBorders>
            <w:shd w:val="clear" w:color="auto" w:fill="auto"/>
            <w:noWrap/>
            <w:vAlign w:val="center"/>
            <w:hideMark/>
          </w:tcPr>
          <w:p w14:paraId="2AB73A39" w14:textId="77777777" w:rsidR="00847F65" w:rsidRPr="005E2B4C" w:rsidRDefault="00847F65" w:rsidP="00090E3A">
            <w:pPr>
              <w:jc w:val="center"/>
              <w:rPr>
                <w:color w:val="000000"/>
                <w:sz w:val="16"/>
                <w:szCs w:val="16"/>
              </w:rPr>
            </w:pPr>
            <w:r w:rsidRPr="005E2B4C">
              <w:rPr>
                <w:color w:val="000000"/>
                <w:sz w:val="16"/>
                <w:szCs w:val="16"/>
              </w:rPr>
              <w:t>0.273***</w:t>
            </w:r>
          </w:p>
        </w:tc>
        <w:tc>
          <w:tcPr>
            <w:tcW w:w="0" w:type="auto"/>
            <w:tcBorders>
              <w:top w:val="nil"/>
              <w:left w:val="nil"/>
              <w:bottom w:val="nil"/>
              <w:right w:val="nil"/>
            </w:tcBorders>
            <w:shd w:val="clear" w:color="auto" w:fill="auto"/>
            <w:noWrap/>
            <w:vAlign w:val="center"/>
            <w:hideMark/>
          </w:tcPr>
          <w:p w14:paraId="5241757F" w14:textId="77777777" w:rsidR="00847F65" w:rsidRPr="005E2B4C" w:rsidRDefault="00847F65" w:rsidP="00090E3A">
            <w:pPr>
              <w:jc w:val="center"/>
              <w:rPr>
                <w:color w:val="000000"/>
                <w:sz w:val="16"/>
                <w:szCs w:val="16"/>
              </w:rPr>
            </w:pPr>
            <w:r w:rsidRPr="005E2B4C">
              <w:rPr>
                <w:color w:val="000000"/>
                <w:sz w:val="16"/>
                <w:szCs w:val="16"/>
              </w:rPr>
              <w:t>0.093***</w:t>
            </w:r>
          </w:p>
        </w:tc>
        <w:tc>
          <w:tcPr>
            <w:tcW w:w="0" w:type="auto"/>
            <w:tcBorders>
              <w:top w:val="nil"/>
              <w:left w:val="nil"/>
              <w:bottom w:val="nil"/>
              <w:right w:val="nil"/>
            </w:tcBorders>
            <w:shd w:val="clear" w:color="auto" w:fill="auto"/>
            <w:noWrap/>
            <w:vAlign w:val="center"/>
            <w:hideMark/>
          </w:tcPr>
          <w:p w14:paraId="34456C58" w14:textId="77777777" w:rsidR="00847F65" w:rsidRPr="005E2B4C" w:rsidRDefault="00847F65" w:rsidP="00090E3A">
            <w:pPr>
              <w:jc w:val="center"/>
              <w:rPr>
                <w:color w:val="000000"/>
                <w:sz w:val="16"/>
                <w:szCs w:val="16"/>
              </w:rPr>
            </w:pPr>
            <w:r w:rsidRPr="005E2B4C">
              <w:rPr>
                <w:color w:val="000000"/>
                <w:sz w:val="16"/>
                <w:szCs w:val="16"/>
              </w:rPr>
              <w:t>0.074***</w:t>
            </w:r>
          </w:p>
        </w:tc>
      </w:tr>
      <w:tr w:rsidR="006A00B7" w:rsidRPr="005E2B4C" w14:paraId="23B1E404" w14:textId="77777777" w:rsidTr="006A00B7">
        <w:trPr>
          <w:trHeight w:val="300"/>
        </w:trPr>
        <w:tc>
          <w:tcPr>
            <w:tcW w:w="0" w:type="auto"/>
            <w:tcBorders>
              <w:top w:val="nil"/>
              <w:left w:val="nil"/>
              <w:bottom w:val="nil"/>
              <w:right w:val="nil"/>
            </w:tcBorders>
            <w:shd w:val="clear" w:color="auto" w:fill="auto"/>
            <w:noWrap/>
            <w:vAlign w:val="center"/>
            <w:hideMark/>
          </w:tcPr>
          <w:p w14:paraId="2D49897F" w14:textId="77777777" w:rsidR="00847F65" w:rsidRPr="005E2B4C" w:rsidRDefault="00847F65" w:rsidP="00090E3A">
            <w:pPr>
              <w:jc w:val="center"/>
              <w:rPr>
                <w:color w:val="000000"/>
                <w:sz w:val="16"/>
                <w:szCs w:val="16"/>
              </w:rPr>
            </w:pPr>
          </w:p>
        </w:tc>
        <w:tc>
          <w:tcPr>
            <w:tcW w:w="0" w:type="auto"/>
            <w:tcBorders>
              <w:top w:val="nil"/>
              <w:left w:val="nil"/>
              <w:bottom w:val="nil"/>
              <w:right w:val="nil"/>
            </w:tcBorders>
            <w:shd w:val="clear" w:color="auto" w:fill="auto"/>
            <w:noWrap/>
            <w:vAlign w:val="center"/>
            <w:hideMark/>
          </w:tcPr>
          <w:p w14:paraId="792CA3D3" w14:textId="77777777" w:rsidR="00847F65" w:rsidRPr="005E2B4C" w:rsidRDefault="00847F65" w:rsidP="00090E3A">
            <w:pPr>
              <w:jc w:val="center"/>
              <w:rPr>
                <w:color w:val="000000"/>
                <w:sz w:val="16"/>
                <w:szCs w:val="16"/>
              </w:rPr>
            </w:pPr>
            <w:r w:rsidRPr="005E2B4C">
              <w:rPr>
                <w:color w:val="000000"/>
                <w:sz w:val="16"/>
                <w:szCs w:val="16"/>
              </w:rPr>
              <w:t>(0.0144)</w:t>
            </w:r>
          </w:p>
        </w:tc>
        <w:tc>
          <w:tcPr>
            <w:tcW w:w="0" w:type="auto"/>
            <w:tcBorders>
              <w:top w:val="nil"/>
              <w:left w:val="nil"/>
              <w:bottom w:val="nil"/>
              <w:right w:val="nil"/>
            </w:tcBorders>
            <w:shd w:val="clear" w:color="auto" w:fill="auto"/>
            <w:noWrap/>
            <w:vAlign w:val="center"/>
            <w:hideMark/>
          </w:tcPr>
          <w:p w14:paraId="4095DBED" w14:textId="77777777" w:rsidR="00847F65" w:rsidRPr="005E2B4C" w:rsidRDefault="00847F65" w:rsidP="00090E3A">
            <w:pPr>
              <w:jc w:val="center"/>
              <w:rPr>
                <w:color w:val="000000"/>
                <w:sz w:val="16"/>
                <w:szCs w:val="16"/>
              </w:rPr>
            </w:pPr>
            <w:r w:rsidRPr="005E2B4C">
              <w:rPr>
                <w:color w:val="000000"/>
                <w:sz w:val="16"/>
                <w:szCs w:val="16"/>
              </w:rPr>
              <w:t>(0.0128)</w:t>
            </w:r>
          </w:p>
        </w:tc>
        <w:tc>
          <w:tcPr>
            <w:tcW w:w="0" w:type="auto"/>
            <w:tcBorders>
              <w:top w:val="nil"/>
              <w:left w:val="nil"/>
              <w:bottom w:val="nil"/>
              <w:right w:val="nil"/>
            </w:tcBorders>
            <w:shd w:val="clear" w:color="auto" w:fill="auto"/>
            <w:noWrap/>
            <w:vAlign w:val="center"/>
            <w:hideMark/>
          </w:tcPr>
          <w:p w14:paraId="5022D9C1" w14:textId="77777777" w:rsidR="00847F65" w:rsidRPr="005E2B4C" w:rsidRDefault="00847F65" w:rsidP="00090E3A">
            <w:pPr>
              <w:jc w:val="center"/>
              <w:rPr>
                <w:color w:val="000000"/>
                <w:sz w:val="16"/>
                <w:szCs w:val="16"/>
              </w:rPr>
            </w:pPr>
            <w:r w:rsidRPr="005E2B4C">
              <w:rPr>
                <w:color w:val="000000"/>
                <w:sz w:val="16"/>
                <w:szCs w:val="16"/>
              </w:rPr>
              <w:t>(0.0179)</w:t>
            </w:r>
          </w:p>
        </w:tc>
        <w:tc>
          <w:tcPr>
            <w:tcW w:w="0" w:type="auto"/>
            <w:tcBorders>
              <w:top w:val="nil"/>
              <w:left w:val="nil"/>
              <w:bottom w:val="nil"/>
              <w:right w:val="nil"/>
            </w:tcBorders>
            <w:shd w:val="clear" w:color="auto" w:fill="auto"/>
            <w:noWrap/>
            <w:vAlign w:val="center"/>
            <w:hideMark/>
          </w:tcPr>
          <w:p w14:paraId="6408A5F7" w14:textId="77777777" w:rsidR="00847F65" w:rsidRPr="005E2B4C" w:rsidRDefault="00847F65" w:rsidP="00090E3A">
            <w:pPr>
              <w:jc w:val="center"/>
              <w:rPr>
                <w:color w:val="000000"/>
                <w:sz w:val="16"/>
                <w:szCs w:val="16"/>
              </w:rPr>
            </w:pPr>
            <w:r w:rsidRPr="005E2B4C">
              <w:rPr>
                <w:color w:val="000000"/>
                <w:sz w:val="16"/>
                <w:szCs w:val="16"/>
              </w:rPr>
              <w:t>(0.0159)</w:t>
            </w:r>
          </w:p>
        </w:tc>
        <w:tc>
          <w:tcPr>
            <w:tcW w:w="0" w:type="auto"/>
            <w:tcBorders>
              <w:top w:val="nil"/>
              <w:left w:val="single" w:sz="4" w:space="0" w:color="auto"/>
              <w:bottom w:val="nil"/>
              <w:right w:val="nil"/>
            </w:tcBorders>
            <w:shd w:val="clear" w:color="auto" w:fill="auto"/>
            <w:noWrap/>
            <w:vAlign w:val="center"/>
            <w:hideMark/>
          </w:tcPr>
          <w:p w14:paraId="3AD3E14D" w14:textId="77777777" w:rsidR="00847F65" w:rsidRPr="005E2B4C" w:rsidRDefault="00847F65" w:rsidP="00090E3A">
            <w:pPr>
              <w:jc w:val="center"/>
              <w:rPr>
                <w:color w:val="000000"/>
                <w:sz w:val="16"/>
                <w:szCs w:val="16"/>
              </w:rPr>
            </w:pPr>
            <w:r w:rsidRPr="005E2B4C">
              <w:rPr>
                <w:color w:val="000000"/>
                <w:sz w:val="16"/>
                <w:szCs w:val="16"/>
              </w:rPr>
              <w:t>(0.0147)</w:t>
            </w:r>
          </w:p>
        </w:tc>
        <w:tc>
          <w:tcPr>
            <w:tcW w:w="0" w:type="auto"/>
            <w:tcBorders>
              <w:top w:val="nil"/>
              <w:left w:val="nil"/>
              <w:bottom w:val="nil"/>
              <w:right w:val="nil"/>
            </w:tcBorders>
            <w:shd w:val="clear" w:color="auto" w:fill="auto"/>
            <w:noWrap/>
            <w:vAlign w:val="center"/>
            <w:hideMark/>
          </w:tcPr>
          <w:p w14:paraId="6D772861" w14:textId="77777777" w:rsidR="00847F65" w:rsidRPr="005E2B4C" w:rsidRDefault="00847F65" w:rsidP="00090E3A">
            <w:pPr>
              <w:jc w:val="center"/>
              <w:rPr>
                <w:color w:val="000000"/>
                <w:sz w:val="16"/>
                <w:szCs w:val="16"/>
              </w:rPr>
            </w:pPr>
            <w:r w:rsidRPr="005E2B4C">
              <w:rPr>
                <w:color w:val="000000"/>
                <w:sz w:val="16"/>
                <w:szCs w:val="16"/>
              </w:rPr>
              <w:t>(0.013)</w:t>
            </w:r>
          </w:p>
        </w:tc>
        <w:tc>
          <w:tcPr>
            <w:tcW w:w="0" w:type="auto"/>
            <w:tcBorders>
              <w:top w:val="nil"/>
              <w:left w:val="nil"/>
              <w:bottom w:val="nil"/>
              <w:right w:val="nil"/>
            </w:tcBorders>
            <w:shd w:val="clear" w:color="auto" w:fill="auto"/>
            <w:noWrap/>
            <w:vAlign w:val="center"/>
            <w:hideMark/>
          </w:tcPr>
          <w:p w14:paraId="0F54F02D" w14:textId="77777777" w:rsidR="00847F65" w:rsidRPr="005E2B4C" w:rsidRDefault="00847F65" w:rsidP="00090E3A">
            <w:pPr>
              <w:jc w:val="center"/>
              <w:rPr>
                <w:color w:val="000000"/>
                <w:sz w:val="16"/>
                <w:szCs w:val="16"/>
              </w:rPr>
            </w:pPr>
            <w:r w:rsidRPr="005E2B4C">
              <w:rPr>
                <w:color w:val="000000"/>
                <w:sz w:val="16"/>
                <w:szCs w:val="16"/>
              </w:rPr>
              <w:t>(0.0184)</w:t>
            </w:r>
          </w:p>
        </w:tc>
        <w:tc>
          <w:tcPr>
            <w:tcW w:w="0" w:type="auto"/>
            <w:tcBorders>
              <w:top w:val="nil"/>
              <w:left w:val="nil"/>
              <w:bottom w:val="nil"/>
              <w:right w:val="nil"/>
            </w:tcBorders>
            <w:shd w:val="clear" w:color="auto" w:fill="auto"/>
            <w:noWrap/>
            <w:vAlign w:val="center"/>
            <w:hideMark/>
          </w:tcPr>
          <w:p w14:paraId="488EA738" w14:textId="77777777" w:rsidR="00847F65" w:rsidRPr="005E2B4C" w:rsidRDefault="00847F65" w:rsidP="00090E3A">
            <w:pPr>
              <w:jc w:val="center"/>
              <w:rPr>
                <w:color w:val="000000"/>
                <w:sz w:val="16"/>
                <w:szCs w:val="16"/>
              </w:rPr>
            </w:pPr>
            <w:r w:rsidRPr="005E2B4C">
              <w:rPr>
                <w:color w:val="000000"/>
                <w:sz w:val="16"/>
                <w:szCs w:val="16"/>
              </w:rPr>
              <w:t>(0.0164)</w:t>
            </w:r>
          </w:p>
        </w:tc>
      </w:tr>
      <w:tr w:rsidR="006A00B7" w:rsidRPr="005E2B4C" w14:paraId="5D048EB0" w14:textId="77777777" w:rsidTr="006A00B7">
        <w:trPr>
          <w:trHeight w:val="300"/>
        </w:trPr>
        <w:tc>
          <w:tcPr>
            <w:tcW w:w="0" w:type="auto"/>
            <w:tcBorders>
              <w:top w:val="nil"/>
              <w:left w:val="nil"/>
              <w:bottom w:val="nil"/>
              <w:right w:val="nil"/>
            </w:tcBorders>
            <w:shd w:val="clear" w:color="auto" w:fill="auto"/>
            <w:noWrap/>
            <w:vAlign w:val="center"/>
            <w:hideMark/>
          </w:tcPr>
          <w:p w14:paraId="7A852AAB" w14:textId="77777777" w:rsidR="00847F65" w:rsidRPr="005E2B4C" w:rsidRDefault="00847F65" w:rsidP="00090E3A">
            <w:pPr>
              <w:jc w:val="center"/>
              <w:rPr>
                <w:color w:val="000000"/>
                <w:sz w:val="16"/>
                <w:szCs w:val="16"/>
              </w:rPr>
            </w:pPr>
            <m:oMathPara>
              <m:oMath>
                <m:r>
                  <w:rPr>
                    <w:rFonts w:ascii="Cambria Math" w:hAnsi="Cambria Math"/>
                    <w:color w:val="000000"/>
                    <w:sz w:val="16"/>
                    <w:szCs w:val="16"/>
                  </w:rPr>
                  <m:t xml:space="preserve">∆ </m:t>
                </m:r>
                <m:sSub>
                  <m:sSubPr>
                    <m:ctrlPr>
                      <w:rPr>
                        <w:rFonts w:ascii="Cambria Math" w:hAnsi="Cambria Math"/>
                        <w:i/>
                        <w:color w:val="000000"/>
                        <w:sz w:val="16"/>
                        <w:szCs w:val="16"/>
                      </w:rPr>
                    </m:ctrlPr>
                  </m:sSubPr>
                  <m:e>
                    <m:r>
                      <w:rPr>
                        <w:rFonts w:ascii="Cambria Math" w:hAnsi="Cambria Math"/>
                        <w:color w:val="000000"/>
                        <w:sz w:val="16"/>
                        <w:szCs w:val="16"/>
                      </w:rPr>
                      <m:t>full cont</m:t>
                    </m:r>
                  </m:e>
                  <m:sub>
                    <m:r>
                      <w:rPr>
                        <w:rFonts w:ascii="Cambria Math" w:hAnsi="Cambria Math"/>
                        <w:color w:val="000000"/>
                        <w:sz w:val="16"/>
                        <w:szCs w:val="16"/>
                      </w:rPr>
                      <m:t>ij,t-3</m:t>
                    </m:r>
                  </m:sub>
                </m:sSub>
              </m:oMath>
            </m:oMathPara>
          </w:p>
        </w:tc>
        <w:tc>
          <w:tcPr>
            <w:tcW w:w="0" w:type="auto"/>
            <w:tcBorders>
              <w:top w:val="nil"/>
              <w:left w:val="nil"/>
              <w:bottom w:val="nil"/>
              <w:right w:val="nil"/>
            </w:tcBorders>
            <w:shd w:val="clear" w:color="auto" w:fill="auto"/>
            <w:noWrap/>
            <w:vAlign w:val="center"/>
            <w:hideMark/>
          </w:tcPr>
          <w:p w14:paraId="61C2CB52" w14:textId="77777777" w:rsidR="00847F65" w:rsidRPr="005E2B4C" w:rsidRDefault="00847F65" w:rsidP="00090E3A">
            <w:pPr>
              <w:jc w:val="center"/>
              <w:rPr>
                <w:color w:val="000000"/>
                <w:sz w:val="16"/>
                <w:szCs w:val="16"/>
              </w:rPr>
            </w:pPr>
            <w:r w:rsidRPr="005E2B4C">
              <w:rPr>
                <w:color w:val="000000"/>
                <w:sz w:val="16"/>
                <w:szCs w:val="16"/>
              </w:rPr>
              <w:t>0.047***</w:t>
            </w:r>
          </w:p>
        </w:tc>
        <w:tc>
          <w:tcPr>
            <w:tcW w:w="0" w:type="auto"/>
            <w:tcBorders>
              <w:top w:val="nil"/>
              <w:left w:val="nil"/>
              <w:bottom w:val="nil"/>
              <w:right w:val="nil"/>
            </w:tcBorders>
            <w:shd w:val="clear" w:color="auto" w:fill="auto"/>
            <w:noWrap/>
            <w:vAlign w:val="center"/>
            <w:hideMark/>
          </w:tcPr>
          <w:p w14:paraId="08FEE388" w14:textId="77777777" w:rsidR="00847F65" w:rsidRPr="005E2B4C" w:rsidRDefault="00847F65" w:rsidP="00090E3A">
            <w:pPr>
              <w:jc w:val="center"/>
              <w:rPr>
                <w:color w:val="000000"/>
                <w:sz w:val="16"/>
                <w:szCs w:val="16"/>
              </w:rPr>
            </w:pPr>
            <w:r w:rsidRPr="005E2B4C">
              <w:rPr>
                <w:color w:val="000000"/>
                <w:sz w:val="16"/>
                <w:szCs w:val="16"/>
              </w:rPr>
              <w:t>0.041***</w:t>
            </w:r>
          </w:p>
        </w:tc>
        <w:tc>
          <w:tcPr>
            <w:tcW w:w="0" w:type="auto"/>
            <w:tcBorders>
              <w:top w:val="nil"/>
              <w:left w:val="nil"/>
              <w:bottom w:val="nil"/>
              <w:right w:val="nil"/>
            </w:tcBorders>
            <w:shd w:val="clear" w:color="auto" w:fill="auto"/>
            <w:noWrap/>
            <w:vAlign w:val="center"/>
            <w:hideMark/>
          </w:tcPr>
          <w:p w14:paraId="356B8A9C" w14:textId="77777777" w:rsidR="00847F65" w:rsidRPr="005E2B4C" w:rsidRDefault="00847F65" w:rsidP="00090E3A">
            <w:pPr>
              <w:jc w:val="center"/>
              <w:rPr>
                <w:color w:val="000000"/>
                <w:sz w:val="16"/>
                <w:szCs w:val="16"/>
              </w:rPr>
            </w:pPr>
            <w:r w:rsidRPr="005E2B4C">
              <w:rPr>
                <w:color w:val="000000"/>
                <w:sz w:val="16"/>
                <w:szCs w:val="16"/>
              </w:rPr>
              <w:t>-0.196***</w:t>
            </w:r>
          </w:p>
        </w:tc>
        <w:tc>
          <w:tcPr>
            <w:tcW w:w="0" w:type="auto"/>
            <w:tcBorders>
              <w:top w:val="nil"/>
              <w:left w:val="nil"/>
              <w:bottom w:val="nil"/>
              <w:right w:val="nil"/>
            </w:tcBorders>
            <w:shd w:val="clear" w:color="auto" w:fill="auto"/>
            <w:noWrap/>
            <w:vAlign w:val="center"/>
            <w:hideMark/>
          </w:tcPr>
          <w:p w14:paraId="79B150F8" w14:textId="77777777" w:rsidR="00847F65" w:rsidRPr="005E2B4C" w:rsidRDefault="00847F65" w:rsidP="00090E3A">
            <w:pPr>
              <w:jc w:val="center"/>
              <w:rPr>
                <w:color w:val="000000"/>
                <w:sz w:val="16"/>
                <w:szCs w:val="16"/>
              </w:rPr>
            </w:pPr>
            <w:r w:rsidRPr="005E2B4C">
              <w:rPr>
                <w:color w:val="000000"/>
                <w:sz w:val="16"/>
                <w:szCs w:val="16"/>
              </w:rPr>
              <w:t>-0.224***</w:t>
            </w:r>
          </w:p>
        </w:tc>
        <w:tc>
          <w:tcPr>
            <w:tcW w:w="0" w:type="auto"/>
            <w:tcBorders>
              <w:top w:val="nil"/>
              <w:left w:val="single" w:sz="4" w:space="0" w:color="auto"/>
              <w:bottom w:val="nil"/>
              <w:right w:val="nil"/>
            </w:tcBorders>
            <w:shd w:val="clear" w:color="auto" w:fill="auto"/>
            <w:noWrap/>
            <w:vAlign w:val="center"/>
            <w:hideMark/>
          </w:tcPr>
          <w:p w14:paraId="227C332E" w14:textId="77777777" w:rsidR="00847F65" w:rsidRPr="005E2B4C" w:rsidRDefault="00847F65" w:rsidP="00090E3A">
            <w:pPr>
              <w:jc w:val="center"/>
              <w:rPr>
                <w:color w:val="000000"/>
                <w:sz w:val="16"/>
                <w:szCs w:val="16"/>
              </w:rPr>
            </w:pPr>
            <w:r w:rsidRPr="005E2B4C">
              <w:rPr>
                <w:color w:val="000000"/>
                <w:sz w:val="16"/>
                <w:szCs w:val="16"/>
              </w:rPr>
              <w:t>0.071***</w:t>
            </w:r>
          </w:p>
        </w:tc>
        <w:tc>
          <w:tcPr>
            <w:tcW w:w="0" w:type="auto"/>
            <w:tcBorders>
              <w:top w:val="nil"/>
              <w:left w:val="nil"/>
              <w:bottom w:val="nil"/>
              <w:right w:val="nil"/>
            </w:tcBorders>
            <w:shd w:val="clear" w:color="auto" w:fill="auto"/>
            <w:noWrap/>
            <w:vAlign w:val="center"/>
            <w:hideMark/>
          </w:tcPr>
          <w:p w14:paraId="11C43392" w14:textId="77777777" w:rsidR="00847F65" w:rsidRPr="005E2B4C" w:rsidRDefault="00847F65" w:rsidP="00090E3A">
            <w:pPr>
              <w:jc w:val="center"/>
              <w:rPr>
                <w:color w:val="000000"/>
                <w:sz w:val="16"/>
                <w:szCs w:val="16"/>
              </w:rPr>
            </w:pPr>
            <w:r w:rsidRPr="005E2B4C">
              <w:rPr>
                <w:color w:val="000000"/>
                <w:sz w:val="16"/>
                <w:szCs w:val="16"/>
              </w:rPr>
              <w:t>0.065***</w:t>
            </w:r>
          </w:p>
        </w:tc>
        <w:tc>
          <w:tcPr>
            <w:tcW w:w="0" w:type="auto"/>
            <w:tcBorders>
              <w:top w:val="nil"/>
              <w:left w:val="nil"/>
              <w:bottom w:val="nil"/>
              <w:right w:val="nil"/>
            </w:tcBorders>
            <w:shd w:val="clear" w:color="auto" w:fill="auto"/>
            <w:noWrap/>
            <w:vAlign w:val="center"/>
            <w:hideMark/>
          </w:tcPr>
          <w:p w14:paraId="2EFB22EF" w14:textId="77777777" w:rsidR="00847F65" w:rsidRPr="005E2B4C" w:rsidRDefault="00847F65" w:rsidP="00090E3A">
            <w:pPr>
              <w:jc w:val="center"/>
              <w:rPr>
                <w:color w:val="000000"/>
                <w:sz w:val="16"/>
                <w:szCs w:val="16"/>
              </w:rPr>
            </w:pPr>
            <w:r w:rsidRPr="005E2B4C">
              <w:rPr>
                <w:color w:val="000000"/>
                <w:sz w:val="16"/>
                <w:szCs w:val="16"/>
              </w:rPr>
              <w:t>-0.167***</w:t>
            </w:r>
          </w:p>
        </w:tc>
        <w:tc>
          <w:tcPr>
            <w:tcW w:w="0" w:type="auto"/>
            <w:tcBorders>
              <w:top w:val="nil"/>
              <w:left w:val="nil"/>
              <w:bottom w:val="nil"/>
              <w:right w:val="nil"/>
            </w:tcBorders>
            <w:shd w:val="clear" w:color="auto" w:fill="auto"/>
            <w:noWrap/>
            <w:vAlign w:val="center"/>
            <w:hideMark/>
          </w:tcPr>
          <w:p w14:paraId="7377FBD2" w14:textId="77777777" w:rsidR="00847F65" w:rsidRPr="005E2B4C" w:rsidRDefault="00847F65" w:rsidP="00090E3A">
            <w:pPr>
              <w:jc w:val="center"/>
              <w:rPr>
                <w:color w:val="000000"/>
                <w:sz w:val="16"/>
                <w:szCs w:val="16"/>
              </w:rPr>
            </w:pPr>
            <w:r w:rsidRPr="005E2B4C">
              <w:rPr>
                <w:color w:val="000000"/>
                <w:sz w:val="16"/>
                <w:szCs w:val="16"/>
              </w:rPr>
              <w:t>-0.195***</w:t>
            </w:r>
          </w:p>
        </w:tc>
      </w:tr>
      <w:tr w:rsidR="006A00B7" w:rsidRPr="005E2B4C" w14:paraId="43F4827C" w14:textId="77777777" w:rsidTr="006A00B7">
        <w:trPr>
          <w:trHeight w:val="300"/>
        </w:trPr>
        <w:tc>
          <w:tcPr>
            <w:tcW w:w="0" w:type="auto"/>
            <w:tcBorders>
              <w:top w:val="nil"/>
              <w:left w:val="nil"/>
              <w:bottom w:val="nil"/>
              <w:right w:val="nil"/>
            </w:tcBorders>
            <w:shd w:val="clear" w:color="auto" w:fill="auto"/>
            <w:noWrap/>
            <w:vAlign w:val="center"/>
            <w:hideMark/>
          </w:tcPr>
          <w:p w14:paraId="12E2E941" w14:textId="77777777" w:rsidR="00847F65" w:rsidRPr="005E2B4C" w:rsidRDefault="00847F65" w:rsidP="00090E3A">
            <w:pPr>
              <w:jc w:val="center"/>
              <w:rPr>
                <w:color w:val="000000"/>
                <w:sz w:val="16"/>
                <w:szCs w:val="16"/>
              </w:rPr>
            </w:pPr>
          </w:p>
        </w:tc>
        <w:tc>
          <w:tcPr>
            <w:tcW w:w="0" w:type="auto"/>
            <w:tcBorders>
              <w:top w:val="nil"/>
              <w:left w:val="nil"/>
              <w:bottom w:val="nil"/>
              <w:right w:val="nil"/>
            </w:tcBorders>
            <w:shd w:val="clear" w:color="auto" w:fill="auto"/>
            <w:noWrap/>
            <w:vAlign w:val="center"/>
            <w:hideMark/>
          </w:tcPr>
          <w:p w14:paraId="261B2AFF" w14:textId="77777777" w:rsidR="00847F65" w:rsidRPr="005E2B4C" w:rsidRDefault="00847F65" w:rsidP="00090E3A">
            <w:pPr>
              <w:jc w:val="center"/>
              <w:rPr>
                <w:color w:val="000000"/>
                <w:sz w:val="16"/>
                <w:szCs w:val="16"/>
              </w:rPr>
            </w:pPr>
            <w:r w:rsidRPr="005E2B4C">
              <w:rPr>
                <w:color w:val="000000"/>
                <w:sz w:val="16"/>
                <w:szCs w:val="16"/>
              </w:rPr>
              <w:t>(0.0134)</w:t>
            </w:r>
          </w:p>
        </w:tc>
        <w:tc>
          <w:tcPr>
            <w:tcW w:w="0" w:type="auto"/>
            <w:tcBorders>
              <w:top w:val="nil"/>
              <w:left w:val="nil"/>
              <w:bottom w:val="nil"/>
              <w:right w:val="nil"/>
            </w:tcBorders>
            <w:shd w:val="clear" w:color="auto" w:fill="auto"/>
            <w:noWrap/>
            <w:vAlign w:val="center"/>
            <w:hideMark/>
          </w:tcPr>
          <w:p w14:paraId="7B4D3DF1" w14:textId="77777777" w:rsidR="00847F65" w:rsidRPr="005E2B4C" w:rsidRDefault="00847F65" w:rsidP="00090E3A">
            <w:pPr>
              <w:jc w:val="center"/>
              <w:rPr>
                <w:color w:val="000000"/>
                <w:sz w:val="16"/>
                <w:szCs w:val="16"/>
              </w:rPr>
            </w:pPr>
            <w:r w:rsidRPr="005E2B4C">
              <w:rPr>
                <w:color w:val="000000"/>
                <w:sz w:val="16"/>
                <w:szCs w:val="16"/>
              </w:rPr>
              <w:t>(0.0118)</w:t>
            </w:r>
          </w:p>
        </w:tc>
        <w:tc>
          <w:tcPr>
            <w:tcW w:w="0" w:type="auto"/>
            <w:tcBorders>
              <w:top w:val="nil"/>
              <w:left w:val="nil"/>
              <w:bottom w:val="nil"/>
              <w:right w:val="nil"/>
            </w:tcBorders>
            <w:shd w:val="clear" w:color="auto" w:fill="auto"/>
            <w:noWrap/>
            <w:vAlign w:val="center"/>
            <w:hideMark/>
          </w:tcPr>
          <w:p w14:paraId="5D4E476D" w14:textId="77777777" w:rsidR="00847F65" w:rsidRPr="005E2B4C" w:rsidRDefault="00847F65" w:rsidP="00090E3A">
            <w:pPr>
              <w:jc w:val="center"/>
              <w:rPr>
                <w:color w:val="000000"/>
                <w:sz w:val="16"/>
                <w:szCs w:val="16"/>
              </w:rPr>
            </w:pPr>
            <w:r w:rsidRPr="005E2B4C">
              <w:rPr>
                <w:color w:val="000000"/>
                <w:sz w:val="16"/>
                <w:szCs w:val="16"/>
              </w:rPr>
              <w:t>(0.0183)</w:t>
            </w:r>
          </w:p>
        </w:tc>
        <w:tc>
          <w:tcPr>
            <w:tcW w:w="0" w:type="auto"/>
            <w:tcBorders>
              <w:top w:val="nil"/>
              <w:left w:val="nil"/>
              <w:bottom w:val="nil"/>
              <w:right w:val="nil"/>
            </w:tcBorders>
            <w:shd w:val="clear" w:color="auto" w:fill="auto"/>
            <w:noWrap/>
            <w:vAlign w:val="center"/>
            <w:hideMark/>
          </w:tcPr>
          <w:p w14:paraId="1F170AA0" w14:textId="77777777" w:rsidR="00847F65" w:rsidRPr="005E2B4C" w:rsidRDefault="00847F65" w:rsidP="00090E3A">
            <w:pPr>
              <w:jc w:val="center"/>
              <w:rPr>
                <w:color w:val="000000"/>
                <w:sz w:val="16"/>
                <w:szCs w:val="16"/>
              </w:rPr>
            </w:pPr>
            <w:r w:rsidRPr="005E2B4C">
              <w:rPr>
                <w:color w:val="000000"/>
                <w:sz w:val="16"/>
                <w:szCs w:val="16"/>
              </w:rPr>
              <w:t>(0.0163)</w:t>
            </w:r>
          </w:p>
        </w:tc>
        <w:tc>
          <w:tcPr>
            <w:tcW w:w="0" w:type="auto"/>
            <w:tcBorders>
              <w:top w:val="nil"/>
              <w:left w:val="single" w:sz="4" w:space="0" w:color="auto"/>
              <w:bottom w:val="nil"/>
              <w:right w:val="nil"/>
            </w:tcBorders>
            <w:shd w:val="clear" w:color="auto" w:fill="auto"/>
            <w:noWrap/>
            <w:vAlign w:val="center"/>
            <w:hideMark/>
          </w:tcPr>
          <w:p w14:paraId="51FF506D" w14:textId="77777777" w:rsidR="00847F65" w:rsidRPr="005E2B4C" w:rsidRDefault="00847F65" w:rsidP="00090E3A">
            <w:pPr>
              <w:jc w:val="center"/>
              <w:rPr>
                <w:color w:val="000000"/>
                <w:sz w:val="16"/>
                <w:szCs w:val="16"/>
              </w:rPr>
            </w:pPr>
            <w:r w:rsidRPr="005E2B4C">
              <w:rPr>
                <w:color w:val="000000"/>
                <w:sz w:val="16"/>
                <w:szCs w:val="16"/>
              </w:rPr>
              <w:t>(0.0135)</w:t>
            </w:r>
          </w:p>
        </w:tc>
        <w:tc>
          <w:tcPr>
            <w:tcW w:w="0" w:type="auto"/>
            <w:tcBorders>
              <w:top w:val="nil"/>
              <w:left w:val="nil"/>
              <w:bottom w:val="nil"/>
              <w:right w:val="nil"/>
            </w:tcBorders>
            <w:shd w:val="clear" w:color="auto" w:fill="auto"/>
            <w:noWrap/>
            <w:vAlign w:val="center"/>
            <w:hideMark/>
          </w:tcPr>
          <w:p w14:paraId="4ABD3732" w14:textId="77777777" w:rsidR="00847F65" w:rsidRPr="005E2B4C" w:rsidRDefault="00847F65" w:rsidP="00090E3A">
            <w:pPr>
              <w:jc w:val="center"/>
              <w:rPr>
                <w:color w:val="000000"/>
                <w:sz w:val="16"/>
                <w:szCs w:val="16"/>
              </w:rPr>
            </w:pPr>
            <w:r w:rsidRPr="005E2B4C">
              <w:rPr>
                <w:color w:val="000000"/>
                <w:sz w:val="16"/>
                <w:szCs w:val="16"/>
              </w:rPr>
              <w:t>(0.0119)</w:t>
            </w:r>
          </w:p>
        </w:tc>
        <w:tc>
          <w:tcPr>
            <w:tcW w:w="0" w:type="auto"/>
            <w:tcBorders>
              <w:top w:val="nil"/>
              <w:left w:val="nil"/>
              <w:bottom w:val="nil"/>
              <w:right w:val="nil"/>
            </w:tcBorders>
            <w:shd w:val="clear" w:color="auto" w:fill="auto"/>
            <w:noWrap/>
            <w:vAlign w:val="center"/>
            <w:hideMark/>
          </w:tcPr>
          <w:p w14:paraId="57FB4B96" w14:textId="77777777" w:rsidR="00847F65" w:rsidRPr="005E2B4C" w:rsidRDefault="00847F65" w:rsidP="00090E3A">
            <w:pPr>
              <w:jc w:val="center"/>
              <w:rPr>
                <w:color w:val="000000"/>
                <w:sz w:val="16"/>
                <w:szCs w:val="16"/>
              </w:rPr>
            </w:pPr>
            <w:r w:rsidRPr="005E2B4C">
              <w:rPr>
                <w:color w:val="000000"/>
                <w:sz w:val="16"/>
                <w:szCs w:val="16"/>
              </w:rPr>
              <w:t>(0.0184)</w:t>
            </w:r>
          </w:p>
        </w:tc>
        <w:tc>
          <w:tcPr>
            <w:tcW w:w="0" w:type="auto"/>
            <w:tcBorders>
              <w:top w:val="nil"/>
              <w:left w:val="nil"/>
              <w:bottom w:val="nil"/>
              <w:right w:val="nil"/>
            </w:tcBorders>
            <w:shd w:val="clear" w:color="auto" w:fill="auto"/>
            <w:noWrap/>
            <w:vAlign w:val="center"/>
            <w:hideMark/>
          </w:tcPr>
          <w:p w14:paraId="5E8F8BD6" w14:textId="77777777" w:rsidR="00847F65" w:rsidRPr="005E2B4C" w:rsidRDefault="00847F65" w:rsidP="00090E3A">
            <w:pPr>
              <w:jc w:val="center"/>
              <w:rPr>
                <w:color w:val="000000"/>
                <w:sz w:val="16"/>
                <w:szCs w:val="16"/>
              </w:rPr>
            </w:pPr>
            <w:r w:rsidRPr="005E2B4C">
              <w:rPr>
                <w:color w:val="000000"/>
                <w:sz w:val="16"/>
                <w:szCs w:val="16"/>
              </w:rPr>
              <w:t>(0.0165)</w:t>
            </w:r>
          </w:p>
        </w:tc>
      </w:tr>
      <w:tr w:rsidR="006A00B7" w:rsidRPr="005E2B4C" w14:paraId="5C971A10" w14:textId="77777777" w:rsidTr="006A00B7">
        <w:trPr>
          <w:trHeight w:val="300"/>
        </w:trPr>
        <w:tc>
          <w:tcPr>
            <w:tcW w:w="0" w:type="auto"/>
            <w:tcBorders>
              <w:top w:val="nil"/>
              <w:left w:val="nil"/>
              <w:bottom w:val="nil"/>
              <w:right w:val="nil"/>
            </w:tcBorders>
            <w:shd w:val="clear" w:color="auto" w:fill="auto"/>
            <w:noWrap/>
            <w:vAlign w:val="center"/>
            <w:hideMark/>
          </w:tcPr>
          <w:p w14:paraId="163E9E8C" w14:textId="77777777" w:rsidR="00847F65" w:rsidRPr="005E2B4C" w:rsidRDefault="00847F65" w:rsidP="00090E3A">
            <w:pPr>
              <w:jc w:val="center"/>
              <w:rPr>
                <w:color w:val="000000"/>
                <w:sz w:val="16"/>
                <w:szCs w:val="16"/>
              </w:rPr>
            </w:pPr>
            <m:oMathPara>
              <m:oMath>
                <m:r>
                  <w:rPr>
                    <w:rFonts w:ascii="Cambria Math" w:hAnsi="Cambria Math"/>
                    <w:color w:val="000000"/>
                    <w:sz w:val="16"/>
                    <w:szCs w:val="16"/>
                  </w:rPr>
                  <m:t xml:space="preserve">∆ </m:t>
                </m:r>
                <m:sSub>
                  <m:sSubPr>
                    <m:ctrlPr>
                      <w:rPr>
                        <w:rFonts w:ascii="Cambria Math" w:hAnsi="Cambria Math"/>
                        <w:i/>
                        <w:color w:val="000000"/>
                        <w:sz w:val="16"/>
                        <w:szCs w:val="16"/>
                      </w:rPr>
                    </m:ctrlPr>
                  </m:sSubPr>
                  <m:e>
                    <m:r>
                      <w:rPr>
                        <w:rFonts w:ascii="Cambria Math" w:hAnsi="Cambria Math"/>
                        <w:color w:val="000000"/>
                        <w:sz w:val="16"/>
                        <w:szCs w:val="16"/>
                      </w:rPr>
                      <m:t>full cont</m:t>
                    </m:r>
                  </m:e>
                  <m:sub>
                    <m:r>
                      <w:rPr>
                        <w:rFonts w:ascii="Cambria Math" w:hAnsi="Cambria Math"/>
                        <w:color w:val="000000"/>
                        <w:sz w:val="16"/>
                        <w:szCs w:val="16"/>
                      </w:rPr>
                      <m:t>ij,t+1</m:t>
                    </m:r>
                  </m:sub>
                </m:sSub>
              </m:oMath>
            </m:oMathPara>
          </w:p>
        </w:tc>
        <w:tc>
          <w:tcPr>
            <w:tcW w:w="0" w:type="auto"/>
            <w:tcBorders>
              <w:top w:val="nil"/>
              <w:left w:val="nil"/>
              <w:bottom w:val="nil"/>
              <w:right w:val="nil"/>
            </w:tcBorders>
            <w:shd w:val="clear" w:color="auto" w:fill="auto"/>
            <w:noWrap/>
            <w:vAlign w:val="center"/>
            <w:hideMark/>
          </w:tcPr>
          <w:p w14:paraId="7B552FFB" w14:textId="77777777" w:rsidR="00847F65" w:rsidRPr="005E2B4C" w:rsidRDefault="00847F65" w:rsidP="00090E3A">
            <w:pPr>
              <w:jc w:val="center"/>
              <w:rPr>
                <w:color w:val="000000"/>
                <w:sz w:val="16"/>
                <w:szCs w:val="16"/>
              </w:rPr>
            </w:pPr>
            <w:r w:rsidRPr="005E2B4C">
              <w:rPr>
                <w:color w:val="000000"/>
                <w:sz w:val="16"/>
                <w:szCs w:val="16"/>
              </w:rPr>
              <w:t>0.294***</w:t>
            </w:r>
          </w:p>
        </w:tc>
        <w:tc>
          <w:tcPr>
            <w:tcW w:w="0" w:type="auto"/>
            <w:tcBorders>
              <w:top w:val="nil"/>
              <w:left w:val="nil"/>
              <w:bottom w:val="nil"/>
              <w:right w:val="nil"/>
            </w:tcBorders>
            <w:shd w:val="clear" w:color="auto" w:fill="auto"/>
            <w:noWrap/>
            <w:vAlign w:val="center"/>
            <w:hideMark/>
          </w:tcPr>
          <w:p w14:paraId="0E1EA932" w14:textId="77777777" w:rsidR="00847F65" w:rsidRPr="005E2B4C" w:rsidRDefault="00847F65" w:rsidP="00090E3A">
            <w:pPr>
              <w:jc w:val="center"/>
              <w:rPr>
                <w:color w:val="000000"/>
                <w:sz w:val="16"/>
                <w:szCs w:val="16"/>
              </w:rPr>
            </w:pPr>
            <w:r w:rsidRPr="005E2B4C">
              <w:rPr>
                <w:color w:val="000000"/>
                <w:sz w:val="16"/>
                <w:szCs w:val="16"/>
              </w:rPr>
              <w:t>0.294***</w:t>
            </w:r>
          </w:p>
        </w:tc>
        <w:tc>
          <w:tcPr>
            <w:tcW w:w="0" w:type="auto"/>
            <w:tcBorders>
              <w:top w:val="nil"/>
              <w:left w:val="nil"/>
              <w:bottom w:val="nil"/>
              <w:right w:val="nil"/>
            </w:tcBorders>
            <w:shd w:val="clear" w:color="auto" w:fill="auto"/>
            <w:noWrap/>
            <w:vAlign w:val="center"/>
            <w:hideMark/>
          </w:tcPr>
          <w:p w14:paraId="494DA420" w14:textId="77777777" w:rsidR="00847F65" w:rsidRPr="005E2B4C" w:rsidRDefault="00847F65" w:rsidP="00090E3A">
            <w:pPr>
              <w:jc w:val="center"/>
              <w:rPr>
                <w:color w:val="000000"/>
                <w:sz w:val="16"/>
                <w:szCs w:val="16"/>
              </w:rPr>
            </w:pPr>
            <w:r w:rsidRPr="005E2B4C">
              <w:rPr>
                <w:color w:val="000000"/>
                <w:sz w:val="16"/>
                <w:szCs w:val="16"/>
              </w:rPr>
              <w:t>0.257***</w:t>
            </w:r>
          </w:p>
        </w:tc>
        <w:tc>
          <w:tcPr>
            <w:tcW w:w="0" w:type="auto"/>
            <w:tcBorders>
              <w:top w:val="nil"/>
              <w:left w:val="nil"/>
              <w:bottom w:val="nil"/>
              <w:right w:val="nil"/>
            </w:tcBorders>
            <w:shd w:val="clear" w:color="auto" w:fill="auto"/>
            <w:noWrap/>
            <w:vAlign w:val="center"/>
            <w:hideMark/>
          </w:tcPr>
          <w:p w14:paraId="429E4BF9" w14:textId="77777777" w:rsidR="00847F65" w:rsidRPr="005E2B4C" w:rsidRDefault="00847F65" w:rsidP="00090E3A">
            <w:pPr>
              <w:jc w:val="center"/>
              <w:rPr>
                <w:color w:val="000000"/>
                <w:sz w:val="16"/>
                <w:szCs w:val="16"/>
              </w:rPr>
            </w:pPr>
            <w:r w:rsidRPr="005E2B4C">
              <w:rPr>
                <w:color w:val="000000"/>
                <w:sz w:val="16"/>
                <w:szCs w:val="16"/>
              </w:rPr>
              <w:t>0.255***</w:t>
            </w:r>
          </w:p>
        </w:tc>
        <w:tc>
          <w:tcPr>
            <w:tcW w:w="0" w:type="auto"/>
            <w:tcBorders>
              <w:top w:val="nil"/>
              <w:left w:val="single" w:sz="4" w:space="0" w:color="auto"/>
              <w:bottom w:val="nil"/>
              <w:right w:val="nil"/>
            </w:tcBorders>
            <w:shd w:val="clear" w:color="auto" w:fill="auto"/>
            <w:noWrap/>
            <w:vAlign w:val="center"/>
            <w:hideMark/>
          </w:tcPr>
          <w:p w14:paraId="4DD55BF5" w14:textId="77777777" w:rsidR="00847F65" w:rsidRPr="005E2B4C" w:rsidRDefault="00847F65" w:rsidP="00090E3A">
            <w:pPr>
              <w:jc w:val="center"/>
              <w:rPr>
                <w:color w:val="000000"/>
                <w:sz w:val="16"/>
                <w:szCs w:val="16"/>
              </w:rPr>
            </w:pPr>
            <w:r w:rsidRPr="005E2B4C">
              <w:rPr>
                <w:color w:val="000000"/>
                <w:sz w:val="16"/>
                <w:szCs w:val="16"/>
              </w:rPr>
              <w:t>0.303***</w:t>
            </w:r>
          </w:p>
        </w:tc>
        <w:tc>
          <w:tcPr>
            <w:tcW w:w="0" w:type="auto"/>
            <w:tcBorders>
              <w:top w:val="nil"/>
              <w:left w:val="nil"/>
              <w:bottom w:val="nil"/>
              <w:right w:val="nil"/>
            </w:tcBorders>
            <w:shd w:val="clear" w:color="auto" w:fill="auto"/>
            <w:noWrap/>
            <w:vAlign w:val="center"/>
            <w:hideMark/>
          </w:tcPr>
          <w:p w14:paraId="0D35B14E" w14:textId="77777777" w:rsidR="00847F65" w:rsidRPr="005E2B4C" w:rsidRDefault="00847F65" w:rsidP="00090E3A">
            <w:pPr>
              <w:jc w:val="center"/>
              <w:rPr>
                <w:color w:val="000000"/>
                <w:sz w:val="16"/>
                <w:szCs w:val="16"/>
              </w:rPr>
            </w:pPr>
            <w:r w:rsidRPr="005E2B4C">
              <w:rPr>
                <w:color w:val="000000"/>
                <w:sz w:val="16"/>
                <w:szCs w:val="16"/>
              </w:rPr>
              <w:t>0.305***</w:t>
            </w:r>
          </w:p>
        </w:tc>
        <w:tc>
          <w:tcPr>
            <w:tcW w:w="0" w:type="auto"/>
            <w:tcBorders>
              <w:top w:val="nil"/>
              <w:left w:val="nil"/>
              <w:bottom w:val="nil"/>
              <w:right w:val="nil"/>
            </w:tcBorders>
            <w:shd w:val="clear" w:color="auto" w:fill="auto"/>
            <w:noWrap/>
            <w:vAlign w:val="center"/>
            <w:hideMark/>
          </w:tcPr>
          <w:p w14:paraId="5FDFB502" w14:textId="77777777" w:rsidR="00847F65" w:rsidRPr="005E2B4C" w:rsidRDefault="00847F65" w:rsidP="00090E3A">
            <w:pPr>
              <w:jc w:val="center"/>
              <w:rPr>
                <w:color w:val="000000"/>
                <w:sz w:val="16"/>
                <w:szCs w:val="16"/>
              </w:rPr>
            </w:pPr>
            <w:r w:rsidRPr="005E2B4C">
              <w:rPr>
                <w:color w:val="000000"/>
                <w:sz w:val="16"/>
                <w:szCs w:val="16"/>
              </w:rPr>
              <w:t>0.265***</w:t>
            </w:r>
          </w:p>
        </w:tc>
        <w:tc>
          <w:tcPr>
            <w:tcW w:w="0" w:type="auto"/>
            <w:tcBorders>
              <w:top w:val="nil"/>
              <w:left w:val="nil"/>
              <w:bottom w:val="nil"/>
              <w:right w:val="nil"/>
            </w:tcBorders>
            <w:shd w:val="clear" w:color="auto" w:fill="auto"/>
            <w:noWrap/>
            <w:vAlign w:val="center"/>
            <w:hideMark/>
          </w:tcPr>
          <w:p w14:paraId="242FE5FE" w14:textId="77777777" w:rsidR="00847F65" w:rsidRPr="005E2B4C" w:rsidRDefault="00847F65" w:rsidP="00090E3A">
            <w:pPr>
              <w:jc w:val="center"/>
              <w:rPr>
                <w:color w:val="000000"/>
                <w:sz w:val="16"/>
                <w:szCs w:val="16"/>
              </w:rPr>
            </w:pPr>
            <w:r w:rsidRPr="005E2B4C">
              <w:rPr>
                <w:color w:val="000000"/>
                <w:sz w:val="16"/>
                <w:szCs w:val="16"/>
              </w:rPr>
              <w:t>0.266***</w:t>
            </w:r>
          </w:p>
        </w:tc>
      </w:tr>
      <w:tr w:rsidR="006A00B7" w:rsidRPr="005E2B4C" w14:paraId="514FE66D" w14:textId="77777777" w:rsidTr="006A00B7">
        <w:trPr>
          <w:trHeight w:val="300"/>
        </w:trPr>
        <w:tc>
          <w:tcPr>
            <w:tcW w:w="0" w:type="auto"/>
            <w:tcBorders>
              <w:top w:val="nil"/>
              <w:left w:val="nil"/>
              <w:bottom w:val="nil"/>
              <w:right w:val="nil"/>
            </w:tcBorders>
            <w:shd w:val="clear" w:color="auto" w:fill="auto"/>
            <w:noWrap/>
            <w:vAlign w:val="center"/>
            <w:hideMark/>
          </w:tcPr>
          <w:p w14:paraId="2BCFBB05" w14:textId="77777777" w:rsidR="00847F65" w:rsidRPr="005E2B4C" w:rsidRDefault="00847F65" w:rsidP="00090E3A">
            <w:pPr>
              <w:jc w:val="center"/>
              <w:rPr>
                <w:color w:val="000000"/>
                <w:sz w:val="16"/>
                <w:szCs w:val="16"/>
              </w:rPr>
            </w:pPr>
          </w:p>
        </w:tc>
        <w:tc>
          <w:tcPr>
            <w:tcW w:w="0" w:type="auto"/>
            <w:tcBorders>
              <w:top w:val="nil"/>
              <w:left w:val="nil"/>
              <w:bottom w:val="nil"/>
              <w:right w:val="nil"/>
            </w:tcBorders>
            <w:shd w:val="clear" w:color="auto" w:fill="auto"/>
            <w:noWrap/>
            <w:vAlign w:val="center"/>
            <w:hideMark/>
          </w:tcPr>
          <w:p w14:paraId="5B46752C" w14:textId="77777777" w:rsidR="00847F65" w:rsidRPr="005E2B4C" w:rsidRDefault="00847F65" w:rsidP="00090E3A">
            <w:pPr>
              <w:jc w:val="center"/>
              <w:rPr>
                <w:color w:val="000000"/>
                <w:sz w:val="16"/>
                <w:szCs w:val="16"/>
              </w:rPr>
            </w:pPr>
            <w:r w:rsidRPr="005E2B4C">
              <w:rPr>
                <w:color w:val="000000"/>
                <w:sz w:val="16"/>
                <w:szCs w:val="16"/>
              </w:rPr>
              <w:t>(0.0093)</w:t>
            </w:r>
          </w:p>
        </w:tc>
        <w:tc>
          <w:tcPr>
            <w:tcW w:w="0" w:type="auto"/>
            <w:tcBorders>
              <w:top w:val="nil"/>
              <w:left w:val="nil"/>
              <w:bottom w:val="nil"/>
              <w:right w:val="nil"/>
            </w:tcBorders>
            <w:shd w:val="clear" w:color="auto" w:fill="auto"/>
            <w:noWrap/>
            <w:vAlign w:val="center"/>
            <w:hideMark/>
          </w:tcPr>
          <w:p w14:paraId="390A0854" w14:textId="77777777" w:rsidR="00847F65" w:rsidRPr="005E2B4C" w:rsidRDefault="00847F65" w:rsidP="00090E3A">
            <w:pPr>
              <w:jc w:val="center"/>
              <w:rPr>
                <w:color w:val="000000"/>
                <w:sz w:val="16"/>
                <w:szCs w:val="16"/>
              </w:rPr>
            </w:pPr>
            <w:r w:rsidRPr="005E2B4C">
              <w:rPr>
                <w:color w:val="000000"/>
                <w:sz w:val="16"/>
                <w:szCs w:val="16"/>
              </w:rPr>
              <w:t>(0.0084)</w:t>
            </w:r>
          </w:p>
        </w:tc>
        <w:tc>
          <w:tcPr>
            <w:tcW w:w="0" w:type="auto"/>
            <w:tcBorders>
              <w:top w:val="nil"/>
              <w:left w:val="nil"/>
              <w:bottom w:val="nil"/>
              <w:right w:val="nil"/>
            </w:tcBorders>
            <w:shd w:val="clear" w:color="auto" w:fill="auto"/>
            <w:noWrap/>
            <w:vAlign w:val="center"/>
            <w:hideMark/>
          </w:tcPr>
          <w:p w14:paraId="50EE5535" w14:textId="77777777" w:rsidR="00847F65" w:rsidRPr="005E2B4C" w:rsidRDefault="00847F65" w:rsidP="00090E3A">
            <w:pPr>
              <w:jc w:val="center"/>
              <w:rPr>
                <w:color w:val="000000"/>
                <w:sz w:val="16"/>
                <w:szCs w:val="16"/>
              </w:rPr>
            </w:pPr>
            <w:r w:rsidRPr="005E2B4C">
              <w:rPr>
                <w:color w:val="000000"/>
                <w:sz w:val="16"/>
                <w:szCs w:val="16"/>
              </w:rPr>
              <w:t>(0.0099)</w:t>
            </w:r>
          </w:p>
        </w:tc>
        <w:tc>
          <w:tcPr>
            <w:tcW w:w="0" w:type="auto"/>
            <w:tcBorders>
              <w:top w:val="nil"/>
              <w:left w:val="nil"/>
              <w:bottom w:val="nil"/>
              <w:right w:val="nil"/>
            </w:tcBorders>
            <w:shd w:val="clear" w:color="auto" w:fill="auto"/>
            <w:noWrap/>
            <w:vAlign w:val="center"/>
            <w:hideMark/>
          </w:tcPr>
          <w:p w14:paraId="6247B229" w14:textId="77777777" w:rsidR="00847F65" w:rsidRPr="005E2B4C" w:rsidRDefault="00847F65" w:rsidP="00090E3A">
            <w:pPr>
              <w:jc w:val="center"/>
              <w:rPr>
                <w:color w:val="000000"/>
                <w:sz w:val="16"/>
                <w:szCs w:val="16"/>
              </w:rPr>
            </w:pPr>
            <w:r w:rsidRPr="005E2B4C">
              <w:rPr>
                <w:color w:val="000000"/>
                <w:sz w:val="16"/>
                <w:szCs w:val="16"/>
              </w:rPr>
              <w:t>(0.0089)</w:t>
            </w:r>
          </w:p>
        </w:tc>
        <w:tc>
          <w:tcPr>
            <w:tcW w:w="0" w:type="auto"/>
            <w:tcBorders>
              <w:top w:val="nil"/>
              <w:left w:val="single" w:sz="4" w:space="0" w:color="auto"/>
              <w:bottom w:val="nil"/>
              <w:right w:val="nil"/>
            </w:tcBorders>
            <w:shd w:val="clear" w:color="auto" w:fill="auto"/>
            <w:noWrap/>
            <w:vAlign w:val="center"/>
            <w:hideMark/>
          </w:tcPr>
          <w:p w14:paraId="738ABBEA" w14:textId="77777777" w:rsidR="00847F65" w:rsidRPr="005E2B4C" w:rsidRDefault="00847F65" w:rsidP="00090E3A">
            <w:pPr>
              <w:jc w:val="center"/>
              <w:rPr>
                <w:color w:val="000000"/>
                <w:sz w:val="16"/>
                <w:szCs w:val="16"/>
              </w:rPr>
            </w:pPr>
            <w:r w:rsidRPr="005E2B4C">
              <w:rPr>
                <w:color w:val="000000"/>
                <w:sz w:val="16"/>
                <w:szCs w:val="16"/>
              </w:rPr>
              <w:t>(0.01)</w:t>
            </w:r>
          </w:p>
        </w:tc>
        <w:tc>
          <w:tcPr>
            <w:tcW w:w="0" w:type="auto"/>
            <w:tcBorders>
              <w:top w:val="nil"/>
              <w:left w:val="nil"/>
              <w:bottom w:val="nil"/>
              <w:right w:val="nil"/>
            </w:tcBorders>
            <w:shd w:val="clear" w:color="auto" w:fill="auto"/>
            <w:noWrap/>
            <w:vAlign w:val="center"/>
            <w:hideMark/>
          </w:tcPr>
          <w:p w14:paraId="2C57E4DD" w14:textId="77777777" w:rsidR="00847F65" w:rsidRPr="005E2B4C" w:rsidRDefault="00847F65" w:rsidP="00090E3A">
            <w:pPr>
              <w:jc w:val="center"/>
              <w:rPr>
                <w:color w:val="000000"/>
                <w:sz w:val="16"/>
                <w:szCs w:val="16"/>
              </w:rPr>
            </w:pPr>
            <w:r w:rsidRPr="005E2B4C">
              <w:rPr>
                <w:color w:val="000000"/>
                <w:sz w:val="16"/>
                <w:szCs w:val="16"/>
              </w:rPr>
              <w:t>(0.009)</w:t>
            </w:r>
          </w:p>
        </w:tc>
        <w:tc>
          <w:tcPr>
            <w:tcW w:w="0" w:type="auto"/>
            <w:tcBorders>
              <w:top w:val="nil"/>
              <w:left w:val="nil"/>
              <w:bottom w:val="nil"/>
              <w:right w:val="nil"/>
            </w:tcBorders>
            <w:shd w:val="clear" w:color="auto" w:fill="auto"/>
            <w:noWrap/>
            <w:vAlign w:val="center"/>
            <w:hideMark/>
          </w:tcPr>
          <w:p w14:paraId="42F3B8A5" w14:textId="77777777" w:rsidR="00847F65" w:rsidRPr="005E2B4C" w:rsidRDefault="00847F65" w:rsidP="00090E3A">
            <w:pPr>
              <w:jc w:val="center"/>
              <w:rPr>
                <w:color w:val="000000"/>
                <w:sz w:val="16"/>
                <w:szCs w:val="16"/>
              </w:rPr>
            </w:pPr>
            <w:r w:rsidRPr="005E2B4C">
              <w:rPr>
                <w:color w:val="000000"/>
                <w:sz w:val="16"/>
                <w:szCs w:val="16"/>
              </w:rPr>
              <w:t>(0.0107)</w:t>
            </w:r>
          </w:p>
        </w:tc>
        <w:tc>
          <w:tcPr>
            <w:tcW w:w="0" w:type="auto"/>
            <w:tcBorders>
              <w:top w:val="nil"/>
              <w:left w:val="nil"/>
              <w:bottom w:val="nil"/>
              <w:right w:val="nil"/>
            </w:tcBorders>
            <w:shd w:val="clear" w:color="auto" w:fill="auto"/>
            <w:noWrap/>
            <w:vAlign w:val="center"/>
            <w:hideMark/>
          </w:tcPr>
          <w:p w14:paraId="1AFF5AED" w14:textId="77777777" w:rsidR="00847F65" w:rsidRPr="005E2B4C" w:rsidRDefault="00847F65" w:rsidP="00090E3A">
            <w:pPr>
              <w:jc w:val="center"/>
              <w:rPr>
                <w:color w:val="000000"/>
                <w:sz w:val="16"/>
                <w:szCs w:val="16"/>
              </w:rPr>
            </w:pPr>
            <w:r w:rsidRPr="005E2B4C">
              <w:rPr>
                <w:color w:val="000000"/>
                <w:sz w:val="16"/>
                <w:szCs w:val="16"/>
              </w:rPr>
              <w:t>(0.0096)</w:t>
            </w:r>
          </w:p>
        </w:tc>
      </w:tr>
      <w:tr w:rsidR="006A00B7" w:rsidRPr="005E2B4C" w14:paraId="7662DE93" w14:textId="77777777" w:rsidTr="006A00B7">
        <w:trPr>
          <w:trHeight w:val="300"/>
        </w:trPr>
        <w:tc>
          <w:tcPr>
            <w:tcW w:w="0" w:type="auto"/>
            <w:tcBorders>
              <w:top w:val="nil"/>
              <w:left w:val="nil"/>
              <w:bottom w:val="nil"/>
              <w:right w:val="nil"/>
            </w:tcBorders>
            <w:shd w:val="clear" w:color="auto" w:fill="auto"/>
            <w:noWrap/>
            <w:vAlign w:val="center"/>
            <w:hideMark/>
          </w:tcPr>
          <w:p w14:paraId="0147C383" w14:textId="77777777" w:rsidR="00847F65" w:rsidRPr="005E2B4C" w:rsidRDefault="00847F65" w:rsidP="00090E3A">
            <w:pPr>
              <w:jc w:val="center"/>
              <w:rPr>
                <w:color w:val="000000"/>
                <w:sz w:val="16"/>
                <w:szCs w:val="16"/>
              </w:rPr>
            </w:pPr>
            <m:oMathPara>
              <m:oMathParaPr>
                <m:jc m:val="left"/>
              </m:oMathParaPr>
              <m:oMath>
                <m:r>
                  <w:rPr>
                    <w:rFonts w:ascii="Cambria Math" w:hAnsi="Cambria Math"/>
                    <w:color w:val="000000"/>
                    <w:sz w:val="16"/>
                    <w:szCs w:val="16"/>
                  </w:rPr>
                  <m:t xml:space="preserve">∆ </m:t>
                </m:r>
                <m:sSub>
                  <m:sSubPr>
                    <m:ctrlPr>
                      <w:rPr>
                        <w:rFonts w:ascii="Cambria Math" w:hAnsi="Cambria Math"/>
                        <w:i/>
                        <w:color w:val="000000"/>
                        <w:sz w:val="16"/>
                        <w:szCs w:val="16"/>
                      </w:rPr>
                    </m:ctrlPr>
                  </m:sSubPr>
                  <m:e>
                    <m:r>
                      <w:rPr>
                        <w:rFonts w:ascii="Cambria Math" w:hAnsi="Cambria Math"/>
                        <w:color w:val="000000"/>
                        <w:sz w:val="16"/>
                        <w:szCs w:val="16"/>
                      </w:rPr>
                      <m:t>fta</m:t>
                    </m:r>
                  </m:e>
                  <m:sub>
                    <m:r>
                      <w:rPr>
                        <w:rFonts w:ascii="Cambria Math" w:hAnsi="Cambria Math"/>
                        <w:color w:val="000000"/>
                        <w:sz w:val="16"/>
                        <w:szCs w:val="16"/>
                      </w:rPr>
                      <m:t>ij,t</m:t>
                    </m:r>
                  </m:sub>
                </m:sSub>
              </m:oMath>
            </m:oMathPara>
          </w:p>
        </w:tc>
        <w:tc>
          <w:tcPr>
            <w:tcW w:w="0" w:type="auto"/>
            <w:tcBorders>
              <w:top w:val="nil"/>
              <w:left w:val="nil"/>
              <w:bottom w:val="nil"/>
              <w:right w:val="nil"/>
            </w:tcBorders>
            <w:shd w:val="clear" w:color="auto" w:fill="auto"/>
            <w:noWrap/>
            <w:vAlign w:val="center"/>
            <w:hideMark/>
          </w:tcPr>
          <w:p w14:paraId="392418E2" w14:textId="77777777" w:rsidR="00847F65" w:rsidRPr="005E2B4C" w:rsidRDefault="00847F65" w:rsidP="00090E3A">
            <w:pPr>
              <w:jc w:val="center"/>
              <w:rPr>
                <w:color w:val="000000"/>
                <w:sz w:val="16"/>
                <w:szCs w:val="16"/>
              </w:rPr>
            </w:pPr>
            <w:r w:rsidRPr="005E2B4C">
              <w:rPr>
                <w:color w:val="000000"/>
                <w:sz w:val="16"/>
                <w:szCs w:val="16"/>
              </w:rPr>
              <w:t>0.233***</w:t>
            </w:r>
          </w:p>
        </w:tc>
        <w:tc>
          <w:tcPr>
            <w:tcW w:w="0" w:type="auto"/>
            <w:tcBorders>
              <w:top w:val="nil"/>
              <w:left w:val="nil"/>
              <w:bottom w:val="nil"/>
              <w:right w:val="nil"/>
            </w:tcBorders>
            <w:shd w:val="clear" w:color="auto" w:fill="auto"/>
            <w:noWrap/>
            <w:vAlign w:val="center"/>
            <w:hideMark/>
          </w:tcPr>
          <w:p w14:paraId="38DB7AF5" w14:textId="77777777" w:rsidR="00847F65" w:rsidRPr="005E2B4C" w:rsidRDefault="00847F65" w:rsidP="00090E3A">
            <w:pPr>
              <w:jc w:val="center"/>
              <w:rPr>
                <w:color w:val="000000"/>
                <w:sz w:val="16"/>
                <w:szCs w:val="16"/>
              </w:rPr>
            </w:pPr>
            <w:r w:rsidRPr="005E2B4C">
              <w:rPr>
                <w:color w:val="000000"/>
                <w:sz w:val="16"/>
                <w:szCs w:val="16"/>
              </w:rPr>
              <w:t>0.237***</w:t>
            </w:r>
          </w:p>
        </w:tc>
        <w:tc>
          <w:tcPr>
            <w:tcW w:w="0" w:type="auto"/>
            <w:tcBorders>
              <w:top w:val="nil"/>
              <w:left w:val="nil"/>
              <w:bottom w:val="nil"/>
              <w:right w:val="nil"/>
            </w:tcBorders>
            <w:shd w:val="clear" w:color="auto" w:fill="auto"/>
            <w:noWrap/>
            <w:vAlign w:val="center"/>
            <w:hideMark/>
          </w:tcPr>
          <w:p w14:paraId="5708DAAD" w14:textId="77777777" w:rsidR="00847F65" w:rsidRPr="005E2B4C" w:rsidRDefault="00847F65" w:rsidP="00090E3A">
            <w:pPr>
              <w:jc w:val="center"/>
              <w:rPr>
                <w:color w:val="000000"/>
                <w:sz w:val="16"/>
                <w:szCs w:val="16"/>
              </w:rPr>
            </w:pPr>
            <w:r w:rsidRPr="005E2B4C">
              <w:rPr>
                <w:color w:val="000000"/>
                <w:sz w:val="16"/>
                <w:szCs w:val="16"/>
              </w:rPr>
              <w:t>0.131***</w:t>
            </w:r>
          </w:p>
        </w:tc>
        <w:tc>
          <w:tcPr>
            <w:tcW w:w="0" w:type="auto"/>
            <w:tcBorders>
              <w:top w:val="nil"/>
              <w:left w:val="nil"/>
              <w:bottom w:val="nil"/>
              <w:right w:val="nil"/>
            </w:tcBorders>
            <w:shd w:val="clear" w:color="auto" w:fill="auto"/>
            <w:noWrap/>
            <w:vAlign w:val="center"/>
            <w:hideMark/>
          </w:tcPr>
          <w:p w14:paraId="09B9F83E" w14:textId="77777777" w:rsidR="00847F65" w:rsidRPr="005E2B4C" w:rsidRDefault="00847F65" w:rsidP="00090E3A">
            <w:pPr>
              <w:jc w:val="center"/>
              <w:rPr>
                <w:color w:val="000000"/>
                <w:sz w:val="16"/>
                <w:szCs w:val="16"/>
              </w:rPr>
            </w:pPr>
            <w:r w:rsidRPr="005E2B4C">
              <w:rPr>
                <w:color w:val="000000"/>
                <w:sz w:val="16"/>
                <w:szCs w:val="16"/>
              </w:rPr>
              <w:t>0.125***</w:t>
            </w:r>
          </w:p>
        </w:tc>
        <w:tc>
          <w:tcPr>
            <w:tcW w:w="0" w:type="auto"/>
            <w:tcBorders>
              <w:top w:val="nil"/>
              <w:left w:val="single" w:sz="4" w:space="0" w:color="auto"/>
              <w:bottom w:val="nil"/>
              <w:right w:val="nil"/>
            </w:tcBorders>
            <w:shd w:val="clear" w:color="auto" w:fill="auto"/>
            <w:noWrap/>
            <w:vAlign w:val="center"/>
            <w:hideMark/>
          </w:tcPr>
          <w:p w14:paraId="3E750A63" w14:textId="77777777" w:rsidR="00847F65" w:rsidRPr="005E2B4C" w:rsidRDefault="00847F65" w:rsidP="00090E3A">
            <w:pPr>
              <w:jc w:val="center"/>
              <w:rPr>
                <w:color w:val="000000"/>
                <w:sz w:val="16"/>
                <w:szCs w:val="16"/>
              </w:rPr>
            </w:pPr>
            <w:r w:rsidRPr="005E2B4C">
              <w:rPr>
                <w:color w:val="000000"/>
                <w:sz w:val="16"/>
                <w:szCs w:val="16"/>
              </w:rPr>
              <w:t>0.238***</w:t>
            </w:r>
          </w:p>
        </w:tc>
        <w:tc>
          <w:tcPr>
            <w:tcW w:w="0" w:type="auto"/>
            <w:tcBorders>
              <w:top w:val="nil"/>
              <w:left w:val="nil"/>
              <w:bottom w:val="nil"/>
              <w:right w:val="nil"/>
            </w:tcBorders>
            <w:shd w:val="clear" w:color="auto" w:fill="auto"/>
            <w:noWrap/>
            <w:vAlign w:val="center"/>
            <w:hideMark/>
          </w:tcPr>
          <w:p w14:paraId="2B1C43B8" w14:textId="77777777" w:rsidR="00847F65" w:rsidRPr="005E2B4C" w:rsidRDefault="00847F65" w:rsidP="00090E3A">
            <w:pPr>
              <w:jc w:val="center"/>
              <w:rPr>
                <w:color w:val="000000"/>
                <w:sz w:val="16"/>
                <w:szCs w:val="16"/>
              </w:rPr>
            </w:pPr>
            <w:r w:rsidRPr="005E2B4C">
              <w:rPr>
                <w:color w:val="000000"/>
                <w:sz w:val="16"/>
                <w:szCs w:val="16"/>
              </w:rPr>
              <w:t>0.243***</w:t>
            </w:r>
          </w:p>
        </w:tc>
        <w:tc>
          <w:tcPr>
            <w:tcW w:w="0" w:type="auto"/>
            <w:tcBorders>
              <w:top w:val="nil"/>
              <w:left w:val="nil"/>
              <w:bottom w:val="nil"/>
              <w:right w:val="nil"/>
            </w:tcBorders>
            <w:shd w:val="clear" w:color="auto" w:fill="auto"/>
            <w:noWrap/>
            <w:vAlign w:val="center"/>
            <w:hideMark/>
          </w:tcPr>
          <w:p w14:paraId="765EB5D1" w14:textId="77777777" w:rsidR="00847F65" w:rsidRPr="005E2B4C" w:rsidRDefault="00847F65" w:rsidP="00090E3A">
            <w:pPr>
              <w:jc w:val="center"/>
              <w:rPr>
                <w:color w:val="000000"/>
                <w:sz w:val="16"/>
                <w:szCs w:val="16"/>
              </w:rPr>
            </w:pPr>
            <w:r w:rsidRPr="005E2B4C">
              <w:rPr>
                <w:color w:val="000000"/>
                <w:sz w:val="16"/>
                <w:szCs w:val="16"/>
              </w:rPr>
              <w:t>0.154***</w:t>
            </w:r>
          </w:p>
        </w:tc>
        <w:tc>
          <w:tcPr>
            <w:tcW w:w="0" w:type="auto"/>
            <w:tcBorders>
              <w:top w:val="nil"/>
              <w:left w:val="nil"/>
              <w:bottom w:val="nil"/>
              <w:right w:val="nil"/>
            </w:tcBorders>
            <w:shd w:val="clear" w:color="auto" w:fill="auto"/>
            <w:noWrap/>
            <w:vAlign w:val="center"/>
            <w:hideMark/>
          </w:tcPr>
          <w:p w14:paraId="2A721A2C" w14:textId="77777777" w:rsidR="00847F65" w:rsidRPr="005E2B4C" w:rsidRDefault="00847F65" w:rsidP="00090E3A">
            <w:pPr>
              <w:jc w:val="center"/>
              <w:rPr>
                <w:color w:val="000000"/>
                <w:sz w:val="16"/>
                <w:szCs w:val="16"/>
              </w:rPr>
            </w:pPr>
            <w:r w:rsidRPr="005E2B4C">
              <w:rPr>
                <w:color w:val="000000"/>
                <w:sz w:val="16"/>
                <w:szCs w:val="16"/>
              </w:rPr>
              <w:t>0.152***</w:t>
            </w:r>
          </w:p>
        </w:tc>
      </w:tr>
      <w:tr w:rsidR="006A00B7" w:rsidRPr="005E2B4C" w14:paraId="083E82BC" w14:textId="77777777" w:rsidTr="006A00B7">
        <w:trPr>
          <w:trHeight w:val="300"/>
        </w:trPr>
        <w:tc>
          <w:tcPr>
            <w:tcW w:w="0" w:type="auto"/>
            <w:tcBorders>
              <w:top w:val="nil"/>
              <w:left w:val="nil"/>
              <w:bottom w:val="nil"/>
              <w:right w:val="nil"/>
            </w:tcBorders>
            <w:shd w:val="clear" w:color="auto" w:fill="auto"/>
            <w:noWrap/>
            <w:vAlign w:val="center"/>
            <w:hideMark/>
          </w:tcPr>
          <w:p w14:paraId="4A01B060" w14:textId="1462A600" w:rsidR="00847F65" w:rsidRPr="005E2B4C" w:rsidRDefault="001521FE" w:rsidP="00090E3A">
            <w:pPr>
              <w:jc w:val="center"/>
              <w:rPr>
                <w:color w:val="000000"/>
                <w:sz w:val="16"/>
                <w:szCs w:val="16"/>
              </w:rPr>
            </w:pPr>
            <w:r>
              <w:rPr>
                <w:noProof/>
                <w:color w:val="000000"/>
                <w:sz w:val="16"/>
                <w:szCs w:val="16"/>
              </w:rPr>
              <mc:AlternateContent>
                <mc:Choice Requires="wps">
                  <w:drawing>
                    <wp:anchor distT="0" distB="0" distL="114300" distR="114300" simplePos="0" relativeHeight="251662336" behindDoc="0" locked="0" layoutInCell="1" allowOverlap="1" wp14:anchorId="52ACBD62" wp14:editId="61FF2606">
                      <wp:simplePos x="0" y="0"/>
                      <wp:positionH relativeFrom="column">
                        <wp:posOffset>-400050</wp:posOffset>
                      </wp:positionH>
                      <wp:positionV relativeFrom="paragraph">
                        <wp:posOffset>45720</wp:posOffset>
                      </wp:positionV>
                      <wp:extent cx="342900" cy="320040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32004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50EC109E" w14:textId="77777777" w:rsidR="00847F65" w:rsidRPr="00F44603" w:rsidRDefault="00847F65" w:rsidP="00847F65">
                                  <w:pPr>
                                    <w:jc w:val="center"/>
                                    <w:rPr>
                                      <w:sz w:val="28"/>
                                    </w:rPr>
                                  </w:pPr>
                                  <w:r w:rsidRPr="00F44603">
                                    <w:rPr>
                                      <w:sz w:val="28"/>
                                    </w:rPr>
                                    <w:t>Panel A: Full Containerization</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28" type="#_x0000_t202" style="position:absolute;left:0;text-align:left;margin-left:-31.45pt;margin-top:3.6pt;width:27pt;height:2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" filled="f" stroked="f">
                      <v:path arrowok="t"/>
                      <v:textbox style="layout-flow:vertical;mso-layout-flow-alt:bottom-to-top">
                        <w:txbxContent>
                          <w:p w14:paraId="50EC109E" w14:textId="77777777" w:rsidR="00847F65" w:rsidRPr="00F44603" w:rsidRDefault="00847F65" w:rsidP="00847F65">
                            <w:pPr>
                              <w:jc w:val="center"/>
                              <w:rPr>
                                <w:sz w:val="28"/>
                              </w:rPr>
                            </w:pPr>
                            <w:r w:rsidRPr="00F44603">
                              <w:rPr>
                                <w:sz w:val="28"/>
                              </w:rPr>
                              <w:t>Panel A: Full Containerization</w:t>
                            </w:r>
                          </w:p>
                        </w:txbxContent>
                      </v:textbox>
                    </v:shape>
                  </w:pict>
                </mc:Fallback>
              </mc:AlternateContent>
            </w:r>
          </w:p>
        </w:tc>
        <w:tc>
          <w:tcPr>
            <w:tcW w:w="0" w:type="auto"/>
            <w:tcBorders>
              <w:top w:val="nil"/>
              <w:left w:val="nil"/>
              <w:bottom w:val="nil"/>
              <w:right w:val="nil"/>
            </w:tcBorders>
            <w:shd w:val="clear" w:color="auto" w:fill="auto"/>
            <w:noWrap/>
            <w:vAlign w:val="center"/>
            <w:hideMark/>
          </w:tcPr>
          <w:p w14:paraId="3DD84032" w14:textId="77777777" w:rsidR="00847F65" w:rsidRPr="005E2B4C" w:rsidRDefault="00847F65" w:rsidP="00090E3A">
            <w:pPr>
              <w:jc w:val="center"/>
              <w:rPr>
                <w:color w:val="000000"/>
                <w:sz w:val="16"/>
                <w:szCs w:val="16"/>
              </w:rPr>
            </w:pPr>
            <w:r w:rsidRPr="005E2B4C">
              <w:rPr>
                <w:color w:val="000000"/>
                <w:sz w:val="16"/>
                <w:szCs w:val="16"/>
              </w:rPr>
              <w:t>(0.0168)</w:t>
            </w:r>
          </w:p>
        </w:tc>
        <w:tc>
          <w:tcPr>
            <w:tcW w:w="0" w:type="auto"/>
            <w:tcBorders>
              <w:top w:val="nil"/>
              <w:left w:val="nil"/>
              <w:bottom w:val="nil"/>
              <w:right w:val="nil"/>
            </w:tcBorders>
            <w:shd w:val="clear" w:color="auto" w:fill="auto"/>
            <w:noWrap/>
            <w:vAlign w:val="center"/>
            <w:hideMark/>
          </w:tcPr>
          <w:p w14:paraId="2C239887" w14:textId="77777777" w:rsidR="00847F65" w:rsidRPr="005E2B4C" w:rsidRDefault="00847F65" w:rsidP="00090E3A">
            <w:pPr>
              <w:jc w:val="center"/>
              <w:rPr>
                <w:color w:val="000000"/>
                <w:sz w:val="16"/>
                <w:szCs w:val="16"/>
              </w:rPr>
            </w:pPr>
            <w:r w:rsidRPr="005E2B4C">
              <w:rPr>
                <w:color w:val="000000"/>
                <w:sz w:val="16"/>
                <w:szCs w:val="16"/>
              </w:rPr>
              <w:t>(0.0151)</w:t>
            </w:r>
          </w:p>
        </w:tc>
        <w:tc>
          <w:tcPr>
            <w:tcW w:w="0" w:type="auto"/>
            <w:tcBorders>
              <w:top w:val="nil"/>
              <w:left w:val="nil"/>
              <w:bottom w:val="nil"/>
              <w:right w:val="nil"/>
            </w:tcBorders>
            <w:shd w:val="clear" w:color="auto" w:fill="auto"/>
            <w:noWrap/>
            <w:vAlign w:val="center"/>
            <w:hideMark/>
          </w:tcPr>
          <w:p w14:paraId="6C9F4F21" w14:textId="77777777" w:rsidR="00847F65" w:rsidRPr="005E2B4C" w:rsidRDefault="00847F65" w:rsidP="00090E3A">
            <w:pPr>
              <w:jc w:val="center"/>
              <w:rPr>
                <w:color w:val="000000"/>
                <w:sz w:val="16"/>
                <w:szCs w:val="16"/>
              </w:rPr>
            </w:pPr>
            <w:r w:rsidRPr="005E2B4C">
              <w:rPr>
                <w:color w:val="000000"/>
                <w:sz w:val="16"/>
                <w:szCs w:val="16"/>
              </w:rPr>
              <w:t>(0.0372)</w:t>
            </w:r>
          </w:p>
        </w:tc>
        <w:tc>
          <w:tcPr>
            <w:tcW w:w="0" w:type="auto"/>
            <w:tcBorders>
              <w:top w:val="nil"/>
              <w:left w:val="nil"/>
              <w:bottom w:val="nil"/>
              <w:right w:val="nil"/>
            </w:tcBorders>
            <w:shd w:val="clear" w:color="auto" w:fill="auto"/>
            <w:noWrap/>
            <w:vAlign w:val="center"/>
            <w:hideMark/>
          </w:tcPr>
          <w:p w14:paraId="36AB87E5" w14:textId="77777777" w:rsidR="00847F65" w:rsidRPr="005E2B4C" w:rsidRDefault="00847F65" w:rsidP="00090E3A">
            <w:pPr>
              <w:jc w:val="center"/>
              <w:rPr>
                <w:color w:val="000000"/>
                <w:sz w:val="16"/>
                <w:szCs w:val="16"/>
              </w:rPr>
            </w:pPr>
            <w:r w:rsidRPr="005E2B4C">
              <w:rPr>
                <w:color w:val="000000"/>
                <w:sz w:val="16"/>
                <w:szCs w:val="16"/>
              </w:rPr>
              <w:t>(0.0334)</w:t>
            </w:r>
          </w:p>
        </w:tc>
        <w:tc>
          <w:tcPr>
            <w:tcW w:w="0" w:type="auto"/>
            <w:tcBorders>
              <w:top w:val="nil"/>
              <w:left w:val="single" w:sz="4" w:space="0" w:color="auto"/>
              <w:bottom w:val="nil"/>
              <w:right w:val="nil"/>
            </w:tcBorders>
            <w:shd w:val="clear" w:color="auto" w:fill="auto"/>
            <w:noWrap/>
            <w:vAlign w:val="center"/>
            <w:hideMark/>
          </w:tcPr>
          <w:p w14:paraId="6D892D09" w14:textId="77777777" w:rsidR="00847F65" w:rsidRPr="005E2B4C" w:rsidRDefault="00847F65" w:rsidP="00090E3A">
            <w:pPr>
              <w:jc w:val="center"/>
              <w:rPr>
                <w:color w:val="000000"/>
                <w:sz w:val="16"/>
                <w:szCs w:val="16"/>
              </w:rPr>
            </w:pPr>
            <w:r w:rsidRPr="005E2B4C">
              <w:rPr>
                <w:color w:val="000000"/>
                <w:sz w:val="16"/>
                <w:szCs w:val="16"/>
              </w:rPr>
              <w:t>(0.0176)</w:t>
            </w:r>
          </w:p>
        </w:tc>
        <w:tc>
          <w:tcPr>
            <w:tcW w:w="0" w:type="auto"/>
            <w:tcBorders>
              <w:top w:val="nil"/>
              <w:left w:val="nil"/>
              <w:bottom w:val="nil"/>
              <w:right w:val="nil"/>
            </w:tcBorders>
            <w:shd w:val="clear" w:color="auto" w:fill="auto"/>
            <w:noWrap/>
            <w:vAlign w:val="center"/>
            <w:hideMark/>
          </w:tcPr>
          <w:p w14:paraId="4291B219" w14:textId="77777777" w:rsidR="00847F65" w:rsidRPr="005E2B4C" w:rsidRDefault="00847F65" w:rsidP="00090E3A">
            <w:pPr>
              <w:jc w:val="center"/>
              <w:rPr>
                <w:color w:val="000000"/>
                <w:sz w:val="16"/>
                <w:szCs w:val="16"/>
              </w:rPr>
            </w:pPr>
            <w:r w:rsidRPr="005E2B4C">
              <w:rPr>
                <w:color w:val="000000"/>
                <w:sz w:val="16"/>
                <w:szCs w:val="16"/>
              </w:rPr>
              <w:t>(0.0157)</w:t>
            </w:r>
          </w:p>
        </w:tc>
        <w:tc>
          <w:tcPr>
            <w:tcW w:w="0" w:type="auto"/>
            <w:tcBorders>
              <w:top w:val="nil"/>
              <w:left w:val="nil"/>
              <w:bottom w:val="nil"/>
              <w:right w:val="nil"/>
            </w:tcBorders>
            <w:shd w:val="clear" w:color="auto" w:fill="auto"/>
            <w:noWrap/>
            <w:vAlign w:val="center"/>
            <w:hideMark/>
          </w:tcPr>
          <w:p w14:paraId="6A6A3E6C" w14:textId="77777777" w:rsidR="00847F65" w:rsidRPr="005E2B4C" w:rsidRDefault="00847F65" w:rsidP="00090E3A">
            <w:pPr>
              <w:jc w:val="center"/>
              <w:rPr>
                <w:color w:val="000000"/>
                <w:sz w:val="16"/>
                <w:szCs w:val="16"/>
              </w:rPr>
            </w:pPr>
            <w:r w:rsidRPr="005E2B4C">
              <w:rPr>
                <w:color w:val="000000"/>
                <w:sz w:val="16"/>
                <w:szCs w:val="16"/>
              </w:rPr>
              <w:t>(0.0399)</w:t>
            </w:r>
          </w:p>
        </w:tc>
        <w:tc>
          <w:tcPr>
            <w:tcW w:w="0" w:type="auto"/>
            <w:tcBorders>
              <w:top w:val="nil"/>
              <w:left w:val="nil"/>
              <w:bottom w:val="nil"/>
              <w:right w:val="nil"/>
            </w:tcBorders>
            <w:shd w:val="clear" w:color="auto" w:fill="auto"/>
            <w:noWrap/>
            <w:vAlign w:val="center"/>
            <w:hideMark/>
          </w:tcPr>
          <w:p w14:paraId="08E9B12B" w14:textId="77777777" w:rsidR="00847F65" w:rsidRPr="005E2B4C" w:rsidRDefault="00847F65" w:rsidP="00090E3A">
            <w:pPr>
              <w:jc w:val="center"/>
              <w:rPr>
                <w:color w:val="000000"/>
                <w:sz w:val="16"/>
                <w:szCs w:val="16"/>
              </w:rPr>
            </w:pPr>
            <w:r w:rsidRPr="005E2B4C">
              <w:rPr>
                <w:color w:val="000000"/>
                <w:sz w:val="16"/>
                <w:szCs w:val="16"/>
              </w:rPr>
              <w:t>(0.0356)</w:t>
            </w:r>
          </w:p>
        </w:tc>
      </w:tr>
      <w:tr w:rsidR="006A00B7" w:rsidRPr="005E2B4C" w14:paraId="20EFE154" w14:textId="77777777" w:rsidTr="006A00B7">
        <w:trPr>
          <w:trHeight w:val="300"/>
        </w:trPr>
        <w:tc>
          <w:tcPr>
            <w:tcW w:w="0" w:type="auto"/>
            <w:tcBorders>
              <w:top w:val="nil"/>
              <w:left w:val="nil"/>
              <w:bottom w:val="nil"/>
              <w:right w:val="nil"/>
            </w:tcBorders>
            <w:shd w:val="clear" w:color="auto" w:fill="auto"/>
            <w:noWrap/>
            <w:vAlign w:val="center"/>
            <w:hideMark/>
          </w:tcPr>
          <w:p w14:paraId="612A1E0B" w14:textId="77777777" w:rsidR="00847F65" w:rsidRPr="005E2B4C" w:rsidRDefault="00847F65" w:rsidP="00090E3A">
            <w:pPr>
              <w:jc w:val="center"/>
              <w:rPr>
                <w:color w:val="000000"/>
                <w:sz w:val="16"/>
                <w:szCs w:val="16"/>
              </w:rPr>
            </w:pPr>
            <m:oMathPara>
              <m:oMathParaPr>
                <m:jc m:val="left"/>
              </m:oMathParaPr>
              <m:oMath>
                <m:r>
                  <w:rPr>
                    <w:rFonts w:ascii="Cambria Math" w:hAnsi="Cambria Math"/>
                    <w:color w:val="000000"/>
                    <w:sz w:val="16"/>
                    <w:szCs w:val="16"/>
                  </w:rPr>
                  <m:t xml:space="preserve">∆ </m:t>
                </m:r>
                <m:sSub>
                  <m:sSubPr>
                    <m:ctrlPr>
                      <w:rPr>
                        <w:rFonts w:ascii="Cambria Math" w:hAnsi="Cambria Math"/>
                        <w:i/>
                        <w:color w:val="000000"/>
                        <w:sz w:val="16"/>
                        <w:szCs w:val="16"/>
                      </w:rPr>
                    </m:ctrlPr>
                  </m:sSubPr>
                  <m:e>
                    <m:r>
                      <w:rPr>
                        <w:rFonts w:ascii="Cambria Math" w:hAnsi="Cambria Math"/>
                        <w:color w:val="000000"/>
                        <w:sz w:val="16"/>
                        <w:szCs w:val="16"/>
                      </w:rPr>
                      <m:t>fta</m:t>
                    </m:r>
                  </m:e>
                  <m:sub>
                    <m:r>
                      <w:rPr>
                        <w:rFonts w:ascii="Cambria Math" w:hAnsi="Cambria Math"/>
                        <w:color w:val="000000"/>
                        <w:sz w:val="16"/>
                        <w:szCs w:val="16"/>
                      </w:rPr>
                      <m:t>ij,t-1</m:t>
                    </m:r>
                  </m:sub>
                </m:sSub>
              </m:oMath>
            </m:oMathPara>
          </w:p>
        </w:tc>
        <w:tc>
          <w:tcPr>
            <w:tcW w:w="0" w:type="auto"/>
            <w:tcBorders>
              <w:top w:val="nil"/>
              <w:left w:val="nil"/>
              <w:bottom w:val="nil"/>
              <w:right w:val="nil"/>
            </w:tcBorders>
            <w:shd w:val="clear" w:color="auto" w:fill="auto"/>
            <w:noWrap/>
            <w:vAlign w:val="center"/>
            <w:hideMark/>
          </w:tcPr>
          <w:p w14:paraId="27CF6B3B" w14:textId="77777777" w:rsidR="00847F65" w:rsidRPr="005E2B4C" w:rsidRDefault="00847F65" w:rsidP="00090E3A">
            <w:pPr>
              <w:jc w:val="center"/>
              <w:rPr>
                <w:color w:val="000000"/>
                <w:sz w:val="16"/>
                <w:szCs w:val="16"/>
              </w:rPr>
            </w:pPr>
            <w:r w:rsidRPr="005E2B4C">
              <w:rPr>
                <w:color w:val="000000"/>
                <w:sz w:val="16"/>
                <w:szCs w:val="16"/>
              </w:rPr>
              <w:t>0.168***</w:t>
            </w:r>
          </w:p>
        </w:tc>
        <w:tc>
          <w:tcPr>
            <w:tcW w:w="0" w:type="auto"/>
            <w:tcBorders>
              <w:top w:val="nil"/>
              <w:left w:val="nil"/>
              <w:bottom w:val="nil"/>
              <w:right w:val="nil"/>
            </w:tcBorders>
            <w:shd w:val="clear" w:color="auto" w:fill="auto"/>
            <w:noWrap/>
            <w:vAlign w:val="center"/>
            <w:hideMark/>
          </w:tcPr>
          <w:p w14:paraId="5B518B1A" w14:textId="77777777" w:rsidR="00847F65" w:rsidRPr="005E2B4C" w:rsidRDefault="00847F65" w:rsidP="00090E3A">
            <w:pPr>
              <w:jc w:val="center"/>
              <w:rPr>
                <w:color w:val="000000"/>
                <w:sz w:val="16"/>
                <w:szCs w:val="16"/>
              </w:rPr>
            </w:pPr>
            <w:r w:rsidRPr="005E2B4C">
              <w:rPr>
                <w:color w:val="000000"/>
                <w:sz w:val="16"/>
                <w:szCs w:val="16"/>
              </w:rPr>
              <w:t>0.170***</w:t>
            </w:r>
          </w:p>
        </w:tc>
        <w:tc>
          <w:tcPr>
            <w:tcW w:w="0" w:type="auto"/>
            <w:tcBorders>
              <w:top w:val="nil"/>
              <w:left w:val="nil"/>
              <w:bottom w:val="nil"/>
              <w:right w:val="nil"/>
            </w:tcBorders>
            <w:shd w:val="clear" w:color="auto" w:fill="auto"/>
            <w:noWrap/>
            <w:vAlign w:val="center"/>
            <w:hideMark/>
          </w:tcPr>
          <w:p w14:paraId="62524806" w14:textId="77777777" w:rsidR="00847F65" w:rsidRPr="005E2B4C" w:rsidRDefault="00847F65" w:rsidP="00090E3A">
            <w:pPr>
              <w:jc w:val="center"/>
              <w:rPr>
                <w:color w:val="000000"/>
                <w:sz w:val="16"/>
                <w:szCs w:val="16"/>
              </w:rPr>
            </w:pPr>
            <w:r w:rsidRPr="005E2B4C">
              <w:rPr>
                <w:color w:val="000000"/>
                <w:sz w:val="16"/>
                <w:szCs w:val="16"/>
              </w:rPr>
              <w:t>-0.405***</w:t>
            </w:r>
          </w:p>
        </w:tc>
        <w:tc>
          <w:tcPr>
            <w:tcW w:w="0" w:type="auto"/>
            <w:tcBorders>
              <w:top w:val="nil"/>
              <w:left w:val="nil"/>
              <w:bottom w:val="nil"/>
              <w:right w:val="nil"/>
            </w:tcBorders>
            <w:shd w:val="clear" w:color="auto" w:fill="auto"/>
            <w:noWrap/>
            <w:vAlign w:val="center"/>
            <w:hideMark/>
          </w:tcPr>
          <w:p w14:paraId="09A1F762" w14:textId="77777777" w:rsidR="00847F65" w:rsidRPr="005E2B4C" w:rsidRDefault="00847F65" w:rsidP="00090E3A">
            <w:pPr>
              <w:jc w:val="center"/>
              <w:rPr>
                <w:color w:val="000000"/>
                <w:sz w:val="16"/>
                <w:szCs w:val="16"/>
              </w:rPr>
            </w:pPr>
            <w:r w:rsidRPr="005E2B4C">
              <w:rPr>
                <w:color w:val="000000"/>
                <w:sz w:val="16"/>
                <w:szCs w:val="16"/>
              </w:rPr>
              <w:t>-0.374***</w:t>
            </w:r>
          </w:p>
        </w:tc>
        <w:tc>
          <w:tcPr>
            <w:tcW w:w="0" w:type="auto"/>
            <w:tcBorders>
              <w:top w:val="nil"/>
              <w:left w:val="single" w:sz="4" w:space="0" w:color="auto"/>
              <w:bottom w:val="nil"/>
              <w:right w:val="nil"/>
            </w:tcBorders>
            <w:shd w:val="clear" w:color="auto" w:fill="auto"/>
            <w:noWrap/>
            <w:vAlign w:val="center"/>
            <w:hideMark/>
          </w:tcPr>
          <w:p w14:paraId="259C1EFA" w14:textId="77777777" w:rsidR="00847F65" w:rsidRPr="005E2B4C" w:rsidRDefault="00847F65" w:rsidP="00090E3A">
            <w:pPr>
              <w:jc w:val="center"/>
              <w:rPr>
                <w:color w:val="000000"/>
                <w:sz w:val="16"/>
                <w:szCs w:val="16"/>
              </w:rPr>
            </w:pPr>
            <w:r w:rsidRPr="005E2B4C">
              <w:rPr>
                <w:color w:val="000000"/>
                <w:sz w:val="16"/>
                <w:szCs w:val="16"/>
              </w:rPr>
              <w:t>0.160***</w:t>
            </w:r>
          </w:p>
        </w:tc>
        <w:tc>
          <w:tcPr>
            <w:tcW w:w="0" w:type="auto"/>
            <w:tcBorders>
              <w:top w:val="nil"/>
              <w:left w:val="nil"/>
              <w:bottom w:val="nil"/>
              <w:right w:val="nil"/>
            </w:tcBorders>
            <w:shd w:val="clear" w:color="auto" w:fill="auto"/>
            <w:noWrap/>
            <w:vAlign w:val="center"/>
            <w:hideMark/>
          </w:tcPr>
          <w:p w14:paraId="715D3562" w14:textId="77777777" w:rsidR="00847F65" w:rsidRPr="005E2B4C" w:rsidRDefault="00847F65" w:rsidP="00090E3A">
            <w:pPr>
              <w:jc w:val="center"/>
              <w:rPr>
                <w:color w:val="000000"/>
                <w:sz w:val="16"/>
                <w:szCs w:val="16"/>
              </w:rPr>
            </w:pPr>
            <w:r w:rsidRPr="005E2B4C">
              <w:rPr>
                <w:color w:val="000000"/>
                <w:sz w:val="16"/>
                <w:szCs w:val="16"/>
              </w:rPr>
              <w:t>0.163***</w:t>
            </w:r>
          </w:p>
        </w:tc>
        <w:tc>
          <w:tcPr>
            <w:tcW w:w="0" w:type="auto"/>
            <w:tcBorders>
              <w:top w:val="nil"/>
              <w:left w:val="nil"/>
              <w:bottom w:val="nil"/>
              <w:right w:val="nil"/>
            </w:tcBorders>
            <w:shd w:val="clear" w:color="auto" w:fill="auto"/>
            <w:noWrap/>
            <w:vAlign w:val="center"/>
            <w:hideMark/>
          </w:tcPr>
          <w:p w14:paraId="1FD5E544" w14:textId="77777777" w:rsidR="00847F65" w:rsidRPr="005E2B4C" w:rsidRDefault="00847F65" w:rsidP="00090E3A">
            <w:pPr>
              <w:jc w:val="center"/>
              <w:rPr>
                <w:color w:val="000000"/>
                <w:sz w:val="16"/>
                <w:szCs w:val="16"/>
              </w:rPr>
            </w:pPr>
            <w:r w:rsidRPr="005E2B4C">
              <w:rPr>
                <w:color w:val="000000"/>
                <w:sz w:val="16"/>
                <w:szCs w:val="16"/>
              </w:rPr>
              <w:t>-0.413***</w:t>
            </w:r>
          </w:p>
        </w:tc>
        <w:tc>
          <w:tcPr>
            <w:tcW w:w="0" w:type="auto"/>
            <w:tcBorders>
              <w:top w:val="nil"/>
              <w:left w:val="nil"/>
              <w:bottom w:val="nil"/>
              <w:right w:val="nil"/>
            </w:tcBorders>
            <w:shd w:val="clear" w:color="auto" w:fill="auto"/>
            <w:noWrap/>
            <w:vAlign w:val="center"/>
            <w:hideMark/>
          </w:tcPr>
          <w:p w14:paraId="6BC9347F" w14:textId="77777777" w:rsidR="00847F65" w:rsidRPr="005E2B4C" w:rsidRDefault="00847F65" w:rsidP="00090E3A">
            <w:pPr>
              <w:jc w:val="center"/>
              <w:rPr>
                <w:color w:val="000000"/>
                <w:sz w:val="16"/>
                <w:szCs w:val="16"/>
              </w:rPr>
            </w:pPr>
            <w:r w:rsidRPr="005E2B4C">
              <w:rPr>
                <w:color w:val="000000"/>
                <w:sz w:val="16"/>
                <w:szCs w:val="16"/>
              </w:rPr>
              <w:t>-0.382***</w:t>
            </w:r>
          </w:p>
        </w:tc>
      </w:tr>
      <w:tr w:rsidR="006A00B7" w:rsidRPr="005E2B4C" w14:paraId="1E8DB39F" w14:textId="77777777" w:rsidTr="006A00B7">
        <w:trPr>
          <w:trHeight w:val="300"/>
        </w:trPr>
        <w:tc>
          <w:tcPr>
            <w:tcW w:w="0" w:type="auto"/>
            <w:tcBorders>
              <w:top w:val="nil"/>
              <w:left w:val="nil"/>
              <w:bottom w:val="nil"/>
              <w:right w:val="nil"/>
            </w:tcBorders>
            <w:shd w:val="clear" w:color="auto" w:fill="auto"/>
            <w:noWrap/>
            <w:vAlign w:val="center"/>
            <w:hideMark/>
          </w:tcPr>
          <w:p w14:paraId="2DA40A4A" w14:textId="77777777" w:rsidR="00847F65" w:rsidRPr="005E2B4C" w:rsidRDefault="00847F65" w:rsidP="00090E3A">
            <w:pPr>
              <w:jc w:val="center"/>
              <w:rPr>
                <w:color w:val="000000"/>
                <w:sz w:val="16"/>
                <w:szCs w:val="16"/>
              </w:rPr>
            </w:pPr>
          </w:p>
        </w:tc>
        <w:tc>
          <w:tcPr>
            <w:tcW w:w="0" w:type="auto"/>
            <w:tcBorders>
              <w:top w:val="nil"/>
              <w:left w:val="nil"/>
              <w:bottom w:val="nil"/>
              <w:right w:val="nil"/>
            </w:tcBorders>
            <w:shd w:val="clear" w:color="auto" w:fill="auto"/>
            <w:noWrap/>
            <w:vAlign w:val="center"/>
            <w:hideMark/>
          </w:tcPr>
          <w:p w14:paraId="092B8A42" w14:textId="77777777" w:rsidR="00847F65" w:rsidRPr="005E2B4C" w:rsidRDefault="00847F65" w:rsidP="00090E3A">
            <w:pPr>
              <w:jc w:val="center"/>
              <w:rPr>
                <w:color w:val="000000"/>
                <w:sz w:val="16"/>
                <w:szCs w:val="16"/>
              </w:rPr>
            </w:pPr>
            <w:r w:rsidRPr="005E2B4C">
              <w:rPr>
                <w:color w:val="000000"/>
                <w:sz w:val="16"/>
                <w:szCs w:val="16"/>
              </w:rPr>
              <w:t>(0.014)</w:t>
            </w:r>
          </w:p>
        </w:tc>
        <w:tc>
          <w:tcPr>
            <w:tcW w:w="0" w:type="auto"/>
            <w:tcBorders>
              <w:top w:val="nil"/>
              <w:left w:val="nil"/>
              <w:bottom w:val="nil"/>
              <w:right w:val="nil"/>
            </w:tcBorders>
            <w:shd w:val="clear" w:color="auto" w:fill="auto"/>
            <w:noWrap/>
            <w:vAlign w:val="center"/>
            <w:hideMark/>
          </w:tcPr>
          <w:p w14:paraId="6663C37E" w14:textId="77777777" w:rsidR="00847F65" w:rsidRPr="005E2B4C" w:rsidRDefault="00847F65" w:rsidP="00090E3A">
            <w:pPr>
              <w:jc w:val="center"/>
              <w:rPr>
                <w:color w:val="000000"/>
                <w:sz w:val="16"/>
                <w:szCs w:val="16"/>
              </w:rPr>
            </w:pPr>
            <w:r w:rsidRPr="005E2B4C">
              <w:rPr>
                <w:color w:val="000000"/>
                <w:sz w:val="16"/>
                <w:szCs w:val="16"/>
              </w:rPr>
              <w:t>(0.0125)</w:t>
            </w:r>
          </w:p>
        </w:tc>
        <w:tc>
          <w:tcPr>
            <w:tcW w:w="0" w:type="auto"/>
            <w:tcBorders>
              <w:top w:val="nil"/>
              <w:left w:val="nil"/>
              <w:bottom w:val="nil"/>
              <w:right w:val="nil"/>
            </w:tcBorders>
            <w:shd w:val="clear" w:color="auto" w:fill="auto"/>
            <w:noWrap/>
            <w:vAlign w:val="center"/>
            <w:hideMark/>
          </w:tcPr>
          <w:p w14:paraId="1C4F977C" w14:textId="77777777" w:rsidR="00847F65" w:rsidRPr="005E2B4C" w:rsidRDefault="00847F65" w:rsidP="00090E3A">
            <w:pPr>
              <w:jc w:val="center"/>
              <w:rPr>
                <w:color w:val="000000"/>
                <w:sz w:val="16"/>
                <w:szCs w:val="16"/>
              </w:rPr>
            </w:pPr>
            <w:r w:rsidRPr="005E2B4C">
              <w:rPr>
                <w:color w:val="000000"/>
                <w:sz w:val="16"/>
                <w:szCs w:val="16"/>
              </w:rPr>
              <w:t>(0.0461)</w:t>
            </w:r>
          </w:p>
        </w:tc>
        <w:tc>
          <w:tcPr>
            <w:tcW w:w="0" w:type="auto"/>
            <w:tcBorders>
              <w:top w:val="nil"/>
              <w:left w:val="nil"/>
              <w:bottom w:val="nil"/>
              <w:right w:val="nil"/>
            </w:tcBorders>
            <w:shd w:val="clear" w:color="auto" w:fill="auto"/>
            <w:noWrap/>
            <w:vAlign w:val="center"/>
            <w:hideMark/>
          </w:tcPr>
          <w:p w14:paraId="34733A4D" w14:textId="77777777" w:rsidR="00847F65" w:rsidRPr="005E2B4C" w:rsidRDefault="00847F65" w:rsidP="00090E3A">
            <w:pPr>
              <w:jc w:val="center"/>
              <w:rPr>
                <w:color w:val="000000"/>
                <w:sz w:val="16"/>
                <w:szCs w:val="16"/>
              </w:rPr>
            </w:pPr>
            <w:r w:rsidRPr="005E2B4C">
              <w:rPr>
                <w:color w:val="000000"/>
                <w:sz w:val="16"/>
                <w:szCs w:val="16"/>
              </w:rPr>
              <w:t>(0.0412)</w:t>
            </w:r>
          </w:p>
        </w:tc>
        <w:tc>
          <w:tcPr>
            <w:tcW w:w="0" w:type="auto"/>
            <w:tcBorders>
              <w:top w:val="nil"/>
              <w:left w:val="single" w:sz="4" w:space="0" w:color="auto"/>
              <w:bottom w:val="nil"/>
              <w:right w:val="nil"/>
            </w:tcBorders>
            <w:shd w:val="clear" w:color="auto" w:fill="auto"/>
            <w:noWrap/>
            <w:vAlign w:val="center"/>
            <w:hideMark/>
          </w:tcPr>
          <w:p w14:paraId="43907609" w14:textId="77777777" w:rsidR="00847F65" w:rsidRPr="005E2B4C" w:rsidRDefault="00847F65" w:rsidP="00090E3A">
            <w:pPr>
              <w:jc w:val="center"/>
              <w:rPr>
                <w:color w:val="000000"/>
                <w:sz w:val="16"/>
                <w:szCs w:val="16"/>
              </w:rPr>
            </w:pPr>
            <w:r w:rsidRPr="005E2B4C">
              <w:rPr>
                <w:color w:val="000000"/>
                <w:sz w:val="16"/>
                <w:szCs w:val="16"/>
              </w:rPr>
              <w:t>(0.0146)</w:t>
            </w:r>
          </w:p>
        </w:tc>
        <w:tc>
          <w:tcPr>
            <w:tcW w:w="0" w:type="auto"/>
            <w:tcBorders>
              <w:top w:val="nil"/>
              <w:left w:val="nil"/>
              <w:bottom w:val="nil"/>
              <w:right w:val="nil"/>
            </w:tcBorders>
            <w:shd w:val="clear" w:color="auto" w:fill="auto"/>
            <w:noWrap/>
            <w:vAlign w:val="center"/>
            <w:hideMark/>
          </w:tcPr>
          <w:p w14:paraId="180D1DD9" w14:textId="77777777" w:rsidR="00847F65" w:rsidRPr="005E2B4C" w:rsidRDefault="00847F65" w:rsidP="00090E3A">
            <w:pPr>
              <w:jc w:val="center"/>
              <w:rPr>
                <w:color w:val="000000"/>
                <w:sz w:val="16"/>
                <w:szCs w:val="16"/>
              </w:rPr>
            </w:pPr>
            <w:r w:rsidRPr="005E2B4C">
              <w:rPr>
                <w:color w:val="000000"/>
                <w:sz w:val="16"/>
                <w:szCs w:val="16"/>
              </w:rPr>
              <w:t>(0.013)</w:t>
            </w:r>
          </w:p>
        </w:tc>
        <w:tc>
          <w:tcPr>
            <w:tcW w:w="0" w:type="auto"/>
            <w:tcBorders>
              <w:top w:val="nil"/>
              <w:left w:val="nil"/>
              <w:bottom w:val="nil"/>
              <w:right w:val="nil"/>
            </w:tcBorders>
            <w:shd w:val="clear" w:color="auto" w:fill="auto"/>
            <w:noWrap/>
            <w:vAlign w:val="center"/>
            <w:hideMark/>
          </w:tcPr>
          <w:p w14:paraId="4A3EDADC" w14:textId="77777777" w:rsidR="00847F65" w:rsidRPr="005E2B4C" w:rsidRDefault="00847F65" w:rsidP="00090E3A">
            <w:pPr>
              <w:jc w:val="center"/>
              <w:rPr>
                <w:color w:val="000000"/>
                <w:sz w:val="16"/>
                <w:szCs w:val="16"/>
              </w:rPr>
            </w:pPr>
            <w:r w:rsidRPr="005E2B4C">
              <w:rPr>
                <w:color w:val="000000"/>
                <w:sz w:val="16"/>
                <w:szCs w:val="16"/>
              </w:rPr>
              <w:t>(0.0485)</w:t>
            </w:r>
          </w:p>
        </w:tc>
        <w:tc>
          <w:tcPr>
            <w:tcW w:w="0" w:type="auto"/>
            <w:tcBorders>
              <w:top w:val="nil"/>
              <w:left w:val="nil"/>
              <w:bottom w:val="nil"/>
              <w:right w:val="nil"/>
            </w:tcBorders>
            <w:shd w:val="clear" w:color="auto" w:fill="auto"/>
            <w:noWrap/>
            <w:vAlign w:val="center"/>
            <w:hideMark/>
          </w:tcPr>
          <w:p w14:paraId="685EF945" w14:textId="77777777" w:rsidR="00847F65" w:rsidRPr="005E2B4C" w:rsidRDefault="00847F65" w:rsidP="00090E3A">
            <w:pPr>
              <w:jc w:val="center"/>
              <w:rPr>
                <w:color w:val="000000"/>
                <w:sz w:val="16"/>
                <w:szCs w:val="16"/>
              </w:rPr>
            </w:pPr>
            <w:r w:rsidRPr="005E2B4C">
              <w:rPr>
                <w:color w:val="000000"/>
                <w:sz w:val="16"/>
                <w:szCs w:val="16"/>
              </w:rPr>
              <w:t>(0.0431)</w:t>
            </w:r>
          </w:p>
        </w:tc>
      </w:tr>
      <w:tr w:rsidR="006A00B7" w:rsidRPr="005E2B4C" w14:paraId="38AC2F1E" w14:textId="77777777" w:rsidTr="006A00B7">
        <w:trPr>
          <w:trHeight w:val="300"/>
        </w:trPr>
        <w:tc>
          <w:tcPr>
            <w:tcW w:w="0" w:type="auto"/>
            <w:tcBorders>
              <w:top w:val="nil"/>
              <w:left w:val="nil"/>
              <w:bottom w:val="nil"/>
              <w:right w:val="nil"/>
            </w:tcBorders>
            <w:shd w:val="clear" w:color="auto" w:fill="auto"/>
            <w:noWrap/>
            <w:vAlign w:val="center"/>
            <w:hideMark/>
          </w:tcPr>
          <w:p w14:paraId="3D308F49" w14:textId="77777777" w:rsidR="00847F65" w:rsidRPr="005E2B4C" w:rsidRDefault="00847F65" w:rsidP="00090E3A">
            <w:pPr>
              <w:jc w:val="center"/>
              <w:rPr>
                <w:color w:val="000000"/>
                <w:sz w:val="16"/>
                <w:szCs w:val="16"/>
              </w:rPr>
            </w:pPr>
            <m:oMathPara>
              <m:oMathParaPr>
                <m:jc m:val="left"/>
              </m:oMathParaPr>
              <m:oMath>
                <m:r>
                  <w:rPr>
                    <w:rFonts w:ascii="Cambria Math" w:hAnsi="Cambria Math"/>
                    <w:color w:val="000000"/>
                    <w:sz w:val="16"/>
                    <w:szCs w:val="16"/>
                  </w:rPr>
                  <m:t xml:space="preserve">∆ </m:t>
                </m:r>
                <m:sSub>
                  <m:sSubPr>
                    <m:ctrlPr>
                      <w:rPr>
                        <w:rFonts w:ascii="Cambria Math" w:hAnsi="Cambria Math"/>
                        <w:i/>
                        <w:color w:val="000000"/>
                        <w:sz w:val="16"/>
                        <w:szCs w:val="16"/>
                      </w:rPr>
                    </m:ctrlPr>
                  </m:sSubPr>
                  <m:e>
                    <m:r>
                      <w:rPr>
                        <w:rFonts w:ascii="Cambria Math" w:hAnsi="Cambria Math"/>
                        <w:color w:val="000000"/>
                        <w:sz w:val="16"/>
                        <w:szCs w:val="16"/>
                      </w:rPr>
                      <m:t>fta</m:t>
                    </m:r>
                  </m:e>
                  <m:sub>
                    <m:r>
                      <w:rPr>
                        <w:rFonts w:ascii="Cambria Math" w:hAnsi="Cambria Math"/>
                        <w:color w:val="000000"/>
                        <w:sz w:val="16"/>
                        <w:szCs w:val="16"/>
                      </w:rPr>
                      <m:t>ij,t-2</m:t>
                    </m:r>
                  </m:sub>
                </m:sSub>
              </m:oMath>
            </m:oMathPara>
          </w:p>
        </w:tc>
        <w:tc>
          <w:tcPr>
            <w:tcW w:w="0" w:type="auto"/>
            <w:tcBorders>
              <w:top w:val="nil"/>
              <w:left w:val="nil"/>
              <w:bottom w:val="nil"/>
              <w:right w:val="nil"/>
            </w:tcBorders>
            <w:shd w:val="clear" w:color="auto" w:fill="auto"/>
            <w:noWrap/>
            <w:vAlign w:val="center"/>
            <w:hideMark/>
          </w:tcPr>
          <w:p w14:paraId="0AF5CA06" w14:textId="77777777" w:rsidR="00847F65" w:rsidRPr="005E2B4C" w:rsidRDefault="00847F65" w:rsidP="00090E3A">
            <w:pPr>
              <w:jc w:val="center"/>
              <w:rPr>
                <w:color w:val="000000"/>
                <w:sz w:val="16"/>
                <w:szCs w:val="16"/>
              </w:rPr>
            </w:pPr>
            <w:r w:rsidRPr="005E2B4C">
              <w:rPr>
                <w:color w:val="000000"/>
                <w:sz w:val="16"/>
                <w:szCs w:val="16"/>
              </w:rPr>
              <w:t>0.038*</w:t>
            </w:r>
          </w:p>
        </w:tc>
        <w:tc>
          <w:tcPr>
            <w:tcW w:w="0" w:type="auto"/>
            <w:tcBorders>
              <w:top w:val="nil"/>
              <w:left w:val="nil"/>
              <w:bottom w:val="nil"/>
              <w:right w:val="nil"/>
            </w:tcBorders>
            <w:shd w:val="clear" w:color="auto" w:fill="auto"/>
            <w:noWrap/>
            <w:vAlign w:val="center"/>
            <w:hideMark/>
          </w:tcPr>
          <w:p w14:paraId="12540E3E" w14:textId="77777777" w:rsidR="00847F65" w:rsidRPr="005E2B4C" w:rsidRDefault="00847F65" w:rsidP="00090E3A">
            <w:pPr>
              <w:jc w:val="center"/>
              <w:rPr>
                <w:color w:val="000000"/>
                <w:sz w:val="16"/>
                <w:szCs w:val="16"/>
              </w:rPr>
            </w:pPr>
            <w:r w:rsidRPr="005E2B4C">
              <w:rPr>
                <w:color w:val="000000"/>
                <w:sz w:val="16"/>
                <w:szCs w:val="16"/>
              </w:rPr>
              <w:t>0.038*</w:t>
            </w:r>
          </w:p>
        </w:tc>
        <w:tc>
          <w:tcPr>
            <w:tcW w:w="0" w:type="auto"/>
            <w:tcBorders>
              <w:top w:val="nil"/>
              <w:left w:val="nil"/>
              <w:bottom w:val="nil"/>
              <w:right w:val="nil"/>
            </w:tcBorders>
            <w:shd w:val="clear" w:color="auto" w:fill="auto"/>
            <w:noWrap/>
            <w:vAlign w:val="center"/>
            <w:hideMark/>
          </w:tcPr>
          <w:p w14:paraId="3DB30DA1" w14:textId="77777777" w:rsidR="00847F65" w:rsidRPr="005E2B4C" w:rsidRDefault="00847F65" w:rsidP="00090E3A">
            <w:pPr>
              <w:jc w:val="center"/>
              <w:rPr>
                <w:color w:val="000000"/>
                <w:sz w:val="16"/>
                <w:szCs w:val="16"/>
              </w:rPr>
            </w:pPr>
            <w:r w:rsidRPr="005E2B4C">
              <w:rPr>
                <w:color w:val="000000"/>
                <w:sz w:val="16"/>
                <w:szCs w:val="16"/>
              </w:rPr>
              <w:t>-0.502***</w:t>
            </w:r>
          </w:p>
        </w:tc>
        <w:tc>
          <w:tcPr>
            <w:tcW w:w="0" w:type="auto"/>
            <w:tcBorders>
              <w:top w:val="nil"/>
              <w:left w:val="nil"/>
              <w:bottom w:val="nil"/>
              <w:right w:val="nil"/>
            </w:tcBorders>
            <w:shd w:val="clear" w:color="auto" w:fill="auto"/>
            <w:noWrap/>
            <w:vAlign w:val="center"/>
            <w:hideMark/>
          </w:tcPr>
          <w:p w14:paraId="191EC0AB" w14:textId="77777777" w:rsidR="00847F65" w:rsidRPr="005E2B4C" w:rsidRDefault="00847F65" w:rsidP="00090E3A">
            <w:pPr>
              <w:jc w:val="center"/>
              <w:rPr>
                <w:color w:val="000000"/>
                <w:sz w:val="16"/>
                <w:szCs w:val="16"/>
              </w:rPr>
            </w:pPr>
            <w:r w:rsidRPr="005E2B4C">
              <w:rPr>
                <w:color w:val="000000"/>
                <w:sz w:val="16"/>
                <w:szCs w:val="16"/>
              </w:rPr>
              <w:t>-0.494***</w:t>
            </w:r>
          </w:p>
        </w:tc>
        <w:tc>
          <w:tcPr>
            <w:tcW w:w="0" w:type="auto"/>
            <w:tcBorders>
              <w:top w:val="nil"/>
              <w:left w:val="single" w:sz="4" w:space="0" w:color="auto"/>
              <w:bottom w:val="nil"/>
              <w:right w:val="nil"/>
            </w:tcBorders>
            <w:shd w:val="clear" w:color="auto" w:fill="auto"/>
            <w:noWrap/>
            <w:vAlign w:val="center"/>
            <w:hideMark/>
          </w:tcPr>
          <w:p w14:paraId="4BD2182B" w14:textId="77777777" w:rsidR="00847F65" w:rsidRPr="005E2B4C" w:rsidRDefault="00847F65" w:rsidP="00090E3A">
            <w:pPr>
              <w:jc w:val="center"/>
              <w:rPr>
                <w:color w:val="000000"/>
                <w:sz w:val="16"/>
                <w:szCs w:val="16"/>
              </w:rPr>
            </w:pPr>
            <w:r w:rsidRPr="005E2B4C">
              <w:rPr>
                <w:color w:val="000000"/>
                <w:sz w:val="16"/>
                <w:szCs w:val="16"/>
              </w:rPr>
              <w:t>0.035</w:t>
            </w:r>
          </w:p>
        </w:tc>
        <w:tc>
          <w:tcPr>
            <w:tcW w:w="0" w:type="auto"/>
            <w:tcBorders>
              <w:top w:val="nil"/>
              <w:left w:val="nil"/>
              <w:bottom w:val="nil"/>
              <w:right w:val="nil"/>
            </w:tcBorders>
            <w:shd w:val="clear" w:color="auto" w:fill="auto"/>
            <w:noWrap/>
            <w:vAlign w:val="center"/>
            <w:hideMark/>
          </w:tcPr>
          <w:p w14:paraId="55F5FE5D" w14:textId="77777777" w:rsidR="00847F65" w:rsidRPr="005E2B4C" w:rsidRDefault="00847F65" w:rsidP="00090E3A">
            <w:pPr>
              <w:jc w:val="center"/>
              <w:rPr>
                <w:color w:val="000000"/>
                <w:sz w:val="16"/>
                <w:szCs w:val="16"/>
              </w:rPr>
            </w:pPr>
            <w:r w:rsidRPr="005E2B4C">
              <w:rPr>
                <w:color w:val="000000"/>
                <w:sz w:val="16"/>
                <w:szCs w:val="16"/>
              </w:rPr>
              <w:t>0.034***</w:t>
            </w:r>
          </w:p>
        </w:tc>
        <w:tc>
          <w:tcPr>
            <w:tcW w:w="0" w:type="auto"/>
            <w:tcBorders>
              <w:top w:val="nil"/>
              <w:left w:val="nil"/>
              <w:bottom w:val="nil"/>
              <w:right w:val="nil"/>
            </w:tcBorders>
            <w:shd w:val="clear" w:color="auto" w:fill="auto"/>
            <w:noWrap/>
            <w:vAlign w:val="center"/>
            <w:hideMark/>
          </w:tcPr>
          <w:p w14:paraId="592C2055" w14:textId="77777777" w:rsidR="00847F65" w:rsidRPr="005E2B4C" w:rsidRDefault="00847F65" w:rsidP="00090E3A">
            <w:pPr>
              <w:jc w:val="center"/>
              <w:rPr>
                <w:color w:val="000000"/>
                <w:sz w:val="16"/>
                <w:szCs w:val="16"/>
              </w:rPr>
            </w:pPr>
            <w:r w:rsidRPr="005E2B4C">
              <w:rPr>
                <w:color w:val="000000"/>
                <w:sz w:val="16"/>
                <w:szCs w:val="16"/>
              </w:rPr>
              <w:t>-0.492***</w:t>
            </w:r>
          </w:p>
        </w:tc>
        <w:tc>
          <w:tcPr>
            <w:tcW w:w="0" w:type="auto"/>
            <w:tcBorders>
              <w:top w:val="nil"/>
              <w:left w:val="nil"/>
              <w:bottom w:val="nil"/>
              <w:right w:val="nil"/>
            </w:tcBorders>
            <w:shd w:val="clear" w:color="auto" w:fill="auto"/>
            <w:noWrap/>
            <w:vAlign w:val="center"/>
            <w:hideMark/>
          </w:tcPr>
          <w:p w14:paraId="0CE141F6" w14:textId="77777777" w:rsidR="00847F65" w:rsidRPr="005E2B4C" w:rsidRDefault="00847F65" w:rsidP="00090E3A">
            <w:pPr>
              <w:jc w:val="center"/>
              <w:rPr>
                <w:color w:val="000000"/>
                <w:sz w:val="16"/>
                <w:szCs w:val="16"/>
              </w:rPr>
            </w:pPr>
            <w:r w:rsidRPr="005E2B4C">
              <w:rPr>
                <w:color w:val="000000"/>
                <w:sz w:val="16"/>
                <w:szCs w:val="16"/>
              </w:rPr>
              <w:t>-0.484***</w:t>
            </w:r>
          </w:p>
        </w:tc>
      </w:tr>
      <w:tr w:rsidR="006A00B7" w:rsidRPr="005E2B4C" w14:paraId="39F337C9" w14:textId="77777777" w:rsidTr="006A00B7">
        <w:trPr>
          <w:trHeight w:val="300"/>
        </w:trPr>
        <w:tc>
          <w:tcPr>
            <w:tcW w:w="0" w:type="auto"/>
            <w:tcBorders>
              <w:top w:val="nil"/>
              <w:left w:val="nil"/>
              <w:bottom w:val="nil"/>
              <w:right w:val="nil"/>
            </w:tcBorders>
            <w:shd w:val="clear" w:color="auto" w:fill="auto"/>
            <w:noWrap/>
            <w:vAlign w:val="center"/>
            <w:hideMark/>
          </w:tcPr>
          <w:p w14:paraId="409866F1" w14:textId="77777777" w:rsidR="00847F65" w:rsidRPr="005E2B4C" w:rsidRDefault="00847F65" w:rsidP="00090E3A">
            <w:pPr>
              <w:jc w:val="center"/>
              <w:rPr>
                <w:color w:val="000000"/>
                <w:sz w:val="16"/>
                <w:szCs w:val="16"/>
              </w:rPr>
            </w:pPr>
          </w:p>
        </w:tc>
        <w:tc>
          <w:tcPr>
            <w:tcW w:w="0" w:type="auto"/>
            <w:tcBorders>
              <w:top w:val="nil"/>
              <w:left w:val="nil"/>
              <w:bottom w:val="nil"/>
              <w:right w:val="nil"/>
            </w:tcBorders>
            <w:shd w:val="clear" w:color="auto" w:fill="auto"/>
            <w:noWrap/>
            <w:vAlign w:val="center"/>
            <w:hideMark/>
          </w:tcPr>
          <w:p w14:paraId="31B20B9C" w14:textId="77777777" w:rsidR="00847F65" w:rsidRPr="005E2B4C" w:rsidRDefault="00847F65" w:rsidP="00090E3A">
            <w:pPr>
              <w:jc w:val="center"/>
              <w:rPr>
                <w:color w:val="000000"/>
                <w:sz w:val="16"/>
                <w:szCs w:val="16"/>
              </w:rPr>
            </w:pPr>
            <w:r w:rsidRPr="005E2B4C">
              <w:rPr>
                <w:color w:val="000000"/>
                <w:sz w:val="16"/>
                <w:szCs w:val="16"/>
              </w:rPr>
              <w:t>(0.0182)</w:t>
            </w:r>
          </w:p>
        </w:tc>
        <w:tc>
          <w:tcPr>
            <w:tcW w:w="0" w:type="auto"/>
            <w:tcBorders>
              <w:top w:val="nil"/>
              <w:left w:val="nil"/>
              <w:bottom w:val="nil"/>
              <w:right w:val="nil"/>
            </w:tcBorders>
            <w:shd w:val="clear" w:color="auto" w:fill="auto"/>
            <w:noWrap/>
            <w:vAlign w:val="center"/>
            <w:hideMark/>
          </w:tcPr>
          <w:p w14:paraId="16743445" w14:textId="77777777" w:rsidR="00847F65" w:rsidRPr="005E2B4C" w:rsidRDefault="00847F65" w:rsidP="00090E3A">
            <w:pPr>
              <w:jc w:val="center"/>
              <w:rPr>
                <w:color w:val="000000"/>
                <w:sz w:val="16"/>
                <w:szCs w:val="16"/>
              </w:rPr>
            </w:pPr>
            <w:r w:rsidRPr="005E2B4C">
              <w:rPr>
                <w:color w:val="000000"/>
                <w:sz w:val="16"/>
                <w:szCs w:val="16"/>
              </w:rPr>
              <w:t>(0.0161)</w:t>
            </w:r>
          </w:p>
        </w:tc>
        <w:tc>
          <w:tcPr>
            <w:tcW w:w="0" w:type="auto"/>
            <w:tcBorders>
              <w:top w:val="nil"/>
              <w:left w:val="nil"/>
              <w:bottom w:val="nil"/>
              <w:right w:val="nil"/>
            </w:tcBorders>
            <w:shd w:val="clear" w:color="auto" w:fill="auto"/>
            <w:noWrap/>
            <w:vAlign w:val="center"/>
            <w:hideMark/>
          </w:tcPr>
          <w:p w14:paraId="0305F152" w14:textId="77777777" w:rsidR="00847F65" w:rsidRPr="005E2B4C" w:rsidRDefault="00847F65" w:rsidP="00090E3A">
            <w:pPr>
              <w:jc w:val="center"/>
              <w:rPr>
                <w:color w:val="000000"/>
                <w:sz w:val="16"/>
                <w:szCs w:val="16"/>
              </w:rPr>
            </w:pPr>
            <w:r w:rsidRPr="005E2B4C">
              <w:rPr>
                <w:color w:val="000000"/>
                <w:sz w:val="16"/>
                <w:szCs w:val="16"/>
              </w:rPr>
              <w:t>(0.0746)</w:t>
            </w:r>
          </w:p>
        </w:tc>
        <w:tc>
          <w:tcPr>
            <w:tcW w:w="0" w:type="auto"/>
            <w:tcBorders>
              <w:top w:val="nil"/>
              <w:left w:val="nil"/>
              <w:bottom w:val="nil"/>
              <w:right w:val="nil"/>
            </w:tcBorders>
            <w:shd w:val="clear" w:color="auto" w:fill="auto"/>
            <w:noWrap/>
            <w:vAlign w:val="center"/>
            <w:hideMark/>
          </w:tcPr>
          <w:p w14:paraId="16077763" w14:textId="77777777" w:rsidR="00847F65" w:rsidRPr="005E2B4C" w:rsidRDefault="00847F65" w:rsidP="00090E3A">
            <w:pPr>
              <w:jc w:val="center"/>
              <w:rPr>
                <w:color w:val="000000"/>
                <w:sz w:val="16"/>
                <w:szCs w:val="16"/>
              </w:rPr>
            </w:pPr>
            <w:r w:rsidRPr="005E2B4C">
              <w:rPr>
                <w:color w:val="000000"/>
                <w:sz w:val="16"/>
                <w:szCs w:val="16"/>
              </w:rPr>
              <w:t>(0.0659)</w:t>
            </w:r>
          </w:p>
        </w:tc>
        <w:tc>
          <w:tcPr>
            <w:tcW w:w="0" w:type="auto"/>
            <w:tcBorders>
              <w:top w:val="nil"/>
              <w:left w:val="single" w:sz="4" w:space="0" w:color="auto"/>
              <w:bottom w:val="nil"/>
              <w:right w:val="nil"/>
            </w:tcBorders>
            <w:shd w:val="clear" w:color="auto" w:fill="auto"/>
            <w:noWrap/>
            <w:vAlign w:val="center"/>
            <w:hideMark/>
          </w:tcPr>
          <w:p w14:paraId="377BC4F8" w14:textId="77777777" w:rsidR="00847F65" w:rsidRPr="005E2B4C" w:rsidRDefault="00847F65" w:rsidP="00090E3A">
            <w:pPr>
              <w:jc w:val="center"/>
              <w:rPr>
                <w:color w:val="000000"/>
                <w:sz w:val="16"/>
                <w:szCs w:val="16"/>
              </w:rPr>
            </w:pPr>
            <w:r w:rsidRPr="005E2B4C">
              <w:rPr>
                <w:color w:val="000000"/>
                <w:sz w:val="16"/>
                <w:szCs w:val="16"/>
              </w:rPr>
              <w:t>(0.0181)</w:t>
            </w:r>
          </w:p>
        </w:tc>
        <w:tc>
          <w:tcPr>
            <w:tcW w:w="0" w:type="auto"/>
            <w:tcBorders>
              <w:top w:val="nil"/>
              <w:left w:val="nil"/>
              <w:bottom w:val="nil"/>
              <w:right w:val="nil"/>
            </w:tcBorders>
            <w:shd w:val="clear" w:color="auto" w:fill="auto"/>
            <w:noWrap/>
            <w:vAlign w:val="center"/>
            <w:hideMark/>
          </w:tcPr>
          <w:p w14:paraId="22402AD3" w14:textId="77777777" w:rsidR="00847F65" w:rsidRPr="005E2B4C" w:rsidRDefault="00847F65" w:rsidP="00090E3A">
            <w:pPr>
              <w:jc w:val="center"/>
              <w:rPr>
                <w:color w:val="000000"/>
                <w:sz w:val="16"/>
                <w:szCs w:val="16"/>
              </w:rPr>
            </w:pPr>
            <w:r w:rsidRPr="005E2B4C">
              <w:rPr>
                <w:color w:val="000000"/>
                <w:sz w:val="16"/>
                <w:szCs w:val="16"/>
              </w:rPr>
              <w:t>(0.0161)</w:t>
            </w:r>
          </w:p>
        </w:tc>
        <w:tc>
          <w:tcPr>
            <w:tcW w:w="0" w:type="auto"/>
            <w:tcBorders>
              <w:top w:val="nil"/>
              <w:left w:val="nil"/>
              <w:bottom w:val="nil"/>
              <w:right w:val="nil"/>
            </w:tcBorders>
            <w:shd w:val="clear" w:color="auto" w:fill="auto"/>
            <w:noWrap/>
            <w:vAlign w:val="center"/>
            <w:hideMark/>
          </w:tcPr>
          <w:p w14:paraId="12B79422" w14:textId="77777777" w:rsidR="00847F65" w:rsidRPr="005E2B4C" w:rsidRDefault="00847F65" w:rsidP="00090E3A">
            <w:pPr>
              <w:jc w:val="center"/>
              <w:rPr>
                <w:color w:val="000000"/>
                <w:sz w:val="16"/>
                <w:szCs w:val="16"/>
              </w:rPr>
            </w:pPr>
            <w:r w:rsidRPr="005E2B4C">
              <w:rPr>
                <w:color w:val="000000"/>
                <w:sz w:val="16"/>
                <w:szCs w:val="16"/>
              </w:rPr>
              <w:t>(0.0745)</w:t>
            </w:r>
          </w:p>
        </w:tc>
        <w:tc>
          <w:tcPr>
            <w:tcW w:w="0" w:type="auto"/>
            <w:tcBorders>
              <w:top w:val="nil"/>
              <w:left w:val="nil"/>
              <w:bottom w:val="nil"/>
              <w:right w:val="nil"/>
            </w:tcBorders>
            <w:shd w:val="clear" w:color="auto" w:fill="auto"/>
            <w:noWrap/>
            <w:vAlign w:val="center"/>
            <w:hideMark/>
          </w:tcPr>
          <w:p w14:paraId="27BA87A9" w14:textId="77777777" w:rsidR="00847F65" w:rsidRPr="005E2B4C" w:rsidRDefault="00847F65" w:rsidP="00090E3A">
            <w:pPr>
              <w:jc w:val="center"/>
              <w:rPr>
                <w:color w:val="000000"/>
                <w:sz w:val="16"/>
                <w:szCs w:val="16"/>
              </w:rPr>
            </w:pPr>
            <w:r w:rsidRPr="005E2B4C">
              <w:rPr>
                <w:color w:val="000000"/>
                <w:sz w:val="16"/>
                <w:szCs w:val="16"/>
              </w:rPr>
              <w:t>(0.0659)</w:t>
            </w:r>
          </w:p>
        </w:tc>
      </w:tr>
      <w:tr w:rsidR="006A00B7" w:rsidRPr="005E2B4C" w14:paraId="525BB9B8" w14:textId="77777777" w:rsidTr="006A00B7">
        <w:trPr>
          <w:trHeight w:val="300"/>
        </w:trPr>
        <w:tc>
          <w:tcPr>
            <w:tcW w:w="0" w:type="auto"/>
            <w:tcBorders>
              <w:top w:val="nil"/>
              <w:left w:val="nil"/>
              <w:bottom w:val="nil"/>
              <w:right w:val="nil"/>
            </w:tcBorders>
            <w:shd w:val="clear" w:color="auto" w:fill="auto"/>
            <w:noWrap/>
            <w:vAlign w:val="center"/>
            <w:hideMark/>
          </w:tcPr>
          <w:p w14:paraId="42AFE83F" w14:textId="77777777" w:rsidR="00847F65" w:rsidRPr="005E2B4C" w:rsidRDefault="00847F65" w:rsidP="00090E3A">
            <w:pPr>
              <w:jc w:val="center"/>
              <w:rPr>
                <w:color w:val="000000"/>
                <w:sz w:val="16"/>
                <w:szCs w:val="16"/>
              </w:rPr>
            </w:pPr>
            <m:oMathPara>
              <m:oMathParaPr>
                <m:jc m:val="left"/>
              </m:oMathParaPr>
              <m:oMath>
                <m:r>
                  <w:rPr>
                    <w:rFonts w:ascii="Cambria Math" w:hAnsi="Cambria Math"/>
                    <w:color w:val="000000"/>
                    <w:sz w:val="16"/>
                    <w:szCs w:val="16"/>
                  </w:rPr>
                  <m:t xml:space="preserve">∆ </m:t>
                </m:r>
                <m:sSub>
                  <m:sSubPr>
                    <m:ctrlPr>
                      <w:rPr>
                        <w:rFonts w:ascii="Cambria Math" w:hAnsi="Cambria Math"/>
                        <w:i/>
                        <w:color w:val="000000"/>
                        <w:sz w:val="16"/>
                        <w:szCs w:val="16"/>
                      </w:rPr>
                    </m:ctrlPr>
                  </m:sSubPr>
                  <m:e>
                    <m:r>
                      <w:rPr>
                        <w:rFonts w:ascii="Cambria Math" w:hAnsi="Cambria Math"/>
                        <w:color w:val="000000"/>
                        <w:sz w:val="16"/>
                        <w:szCs w:val="16"/>
                      </w:rPr>
                      <m:t>fta</m:t>
                    </m:r>
                  </m:e>
                  <m:sub>
                    <m:r>
                      <w:rPr>
                        <w:rFonts w:ascii="Cambria Math" w:hAnsi="Cambria Math"/>
                        <w:color w:val="000000"/>
                        <w:sz w:val="16"/>
                        <w:szCs w:val="16"/>
                      </w:rPr>
                      <m:t>ij,t-3</m:t>
                    </m:r>
                  </m:sub>
                </m:sSub>
              </m:oMath>
            </m:oMathPara>
          </w:p>
        </w:tc>
        <w:tc>
          <w:tcPr>
            <w:tcW w:w="0" w:type="auto"/>
            <w:tcBorders>
              <w:top w:val="nil"/>
              <w:left w:val="nil"/>
              <w:bottom w:val="nil"/>
              <w:right w:val="nil"/>
            </w:tcBorders>
            <w:shd w:val="clear" w:color="auto" w:fill="auto"/>
            <w:noWrap/>
            <w:vAlign w:val="center"/>
            <w:hideMark/>
          </w:tcPr>
          <w:p w14:paraId="716D84A3" w14:textId="77777777" w:rsidR="00847F65" w:rsidRPr="005E2B4C" w:rsidRDefault="00847F65" w:rsidP="00090E3A">
            <w:pPr>
              <w:jc w:val="center"/>
              <w:rPr>
                <w:color w:val="000000"/>
                <w:sz w:val="16"/>
                <w:szCs w:val="16"/>
              </w:rPr>
            </w:pPr>
            <w:r w:rsidRPr="005E2B4C">
              <w:rPr>
                <w:color w:val="000000"/>
                <w:sz w:val="16"/>
                <w:szCs w:val="16"/>
              </w:rPr>
              <w:t>-0.139***</w:t>
            </w:r>
          </w:p>
        </w:tc>
        <w:tc>
          <w:tcPr>
            <w:tcW w:w="0" w:type="auto"/>
            <w:tcBorders>
              <w:top w:val="nil"/>
              <w:left w:val="nil"/>
              <w:bottom w:val="nil"/>
              <w:right w:val="nil"/>
            </w:tcBorders>
            <w:shd w:val="clear" w:color="auto" w:fill="auto"/>
            <w:noWrap/>
            <w:vAlign w:val="center"/>
            <w:hideMark/>
          </w:tcPr>
          <w:p w14:paraId="1186538F" w14:textId="77777777" w:rsidR="00847F65" w:rsidRPr="005E2B4C" w:rsidRDefault="00847F65" w:rsidP="00090E3A">
            <w:pPr>
              <w:jc w:val="center"/>
              <w:rPr>
                <w:color w:val="000000"/>
                <w:sz w:val="16"/>
                <w:szCs w:val="16"/>
              </w:rPr>
            </w:pPr>
            <w:r w:rsidRPr="005E2B4C">
              <w:rPr>
                <w:color w:val="000000"/>
                <w:sz w:val="16"/>
                <w:szCs w:val="16"/>
              </w:rPr>
              <w:t>-0.151***</w:t>
            </w:r>
          </w:p>
        </w:tc>
        <w:tc>
          <w:tcPr>
            <w:tcW w:w="0" w:type="auto"/>
            <w:tcBorders>
              <w:top w:val="nil"/>
              <w:left w:val="nil"/>
              <w:bottom w:val="nil"/>
              <w:right w:val="nil"/>
            </w:tcBorders>
            <w:shd w:val="clear" w:color="auto" w:fill="auto"/>
            <w:noWrap/>
            <w:vAlign w:val="center"/>
            <w:hideMark/>
          </w:tcPr>
          <w:p w14:paraId="69404F9E" w14:textId="77777777" w:rsidR="00847F65" w:rsidRPr="005E2B4C" w:rsidRDefault="00847F65" w:rsidP="00090E3A">
            <w:pPr>
              <w:jc w:val="center"/>
              <w:rPr>
                <w:color w:val="000000"/>
                <w:sz w:val="16"/>
                <w:szCs w:val="16"/>
              </w:rPr>
            </w:pPr>
            <w:r w:rsidRPr="005E2B4C">
              <w:rPr>
                <w:color w:val="000000"/>
                <w:sz w:val="16"/>
                <w:szCs w:val="16"/>
              </w:rPr>
              <w:t>-0.400***</w:t>
            </w:r>
          </w:p>
        </w:tc>
        <w:tc>
          <w:tcPr>
            <w:tcW w:w="0" w:type="auto"/>
            <w:tcBorders>
              <w:top w:val="nil"/>
              <w:left w:val="nil"/>
              <w:bottom w:val="nil"/>
              <w:right w:val="nil"/>
            </w:tcBorders>
            <w:shd w:val="clear" w:color="auto" w:fill="auto"/>
            <w:noWrap/>
            <w:vAlign w:val="center"/>
            <w:hideMark/>
          </w:tcPr>
          <w:p w14:paraId="633B42DA" w14:textId="77777777" w:rsidR="00847F65" w:rsidRPr="005E2B4C" w:rsidRDefault="00847F65" w:rsidP="00090E3A">
            <w:pPr>
              <w:jc w:val="center"/>
              <w:rPr>
                <w:color w:val="000000"/>
                <w:sz w:val="16"/>
                <w:szCs w:val="16"/>
              </w:rPr>
            </w:pPr>
            <w:r w:rsidRPr="005E2B4C">
              <w:rPr>
                <w:color w:val="000000"/>
                <w:sz w:val="16"/>
                <w:szCs w:val="16"/>
              </w:rPr>
              <w:t>-0.447***</w:t>
            </w:r>
          </w:p>
        </w:tc>
        <w:tc>
          <w:tcPr>
            <w:tcW w:w="0" w:type="auto"/>
            <w:tcBorders>
              <w:top w:val="nil"/>
              <w:left w:val="single" w:sz="4" w:space="0" w:color="auto"/>
              <w:bottom w:val="nil"/>
              <w:right w:val="nil"/>
            </w:tcBorders>
            <w:shd w:val="clear" w:color="auto" w:fill="auto"/>
            <w:noWrap/>
            <w:vAlign w:val="center"/>
            <w:hideMark/>
          </w:tcPr>
          <w:p w14:paraId="738098F5" w14:textId="77777777" w:rsidR="00847F65" w:rsidRPr="005E2B4C" w:rsidRDefault="00847F65" w:rsidP="00090E3A">
            <w:pPr>
              <w:jc w:val="center"/>
              <w:rPr>
                <w:color w:val="000000"/>
                <w:sz w:val="16"/>
                <w:szCs w:val="16"/>
              </w:rPr>
            </w:pPr>
            <w:r w:rsidRPr="005E2B4C">
              <w:rPr>
                <w:color w:val="000000"/>
                <w:sz w:val="16"/>
                <w:szCs w:val="16"/>
              </w:rPr>
              <w:t>-0.133***</w:t>
            </w:r>
          </w:p>
        </w:tc>
        <w:tc>
          <w:tcPr>
            <w:tcW w:w="0" w:type="auto"/>
            <w:tcBorders>
              <w:top w:val="nil"/>
              <w:left w:val="nil"/>
              <w:bottom w:val="nil"/>
              <w:right w:val="nil"/>
            </w:tcBorders>
            <w:shd w:val="clear" w:color="auto" w:fill="auto"/>
            <w:noWrap/>
            <w:vAlign w:val="center"/>
            <w:hideMark/>
          </w:tcPr>
          <w:p w14:paraId="2778E132" w14:textId="77777777" w:rsidR="00847F65" w:rsidRPr="005E2B4C" w:rsidRDefault="00847F65" w:rsidP="00090E3A">
            <w:pPr>
              <w:jc w:val="center"/>
              <w:rPr>
                <w:color w:val="000000"/>
                <w:sz w:val="16"/>
                <w:szCs w:val="16"/>
              </w:rPr>
            </w:pPr>
            <w:r w:rsidRPr="005E2B4C">
              <w:rPr>
                <w:color w:val="000000"/>
                <w:sz w:val="16"/>
                <w:szCs w:val="16"/>
              </w:rPr>
              <w:t>-0.146***</w:t>
            </w:r>
          </w:p>
        </w:tc>
        <w:tc>
          <w:tcPr>
            <w:tcW w:w="0" w:type="auto"/>
            <w:tcBorders>
              <w:top w:val="nil"/>
              <w:left w:val="nil"/>
              <w:bottom w:val="nil"/>
              <w:right w:val="nil"/>
            </w:tcBorders>
            <w:shd w:val="clear" w:color="auto" w:fill="auto"/>
            <w:noWrap/>
            <w:vAlign w:val="center"/>
            <w:hideMark/>
          </w:tcPr>
          <w:p w14:paraId="63640E1C" w14:textId="77777777" w:rsidR="00847F65" w:rsidRPr="005E2B4C" w:rsidRDefault="00847F65" w:rsidP="00090E3A">
            <w:pPr>
              <w:jc w:val="center"/>
              <w:rPr>
                <w:color w:val="000000"/>
                <w:sz w:val="16"/>
                <w:szCs w:val="16"/>
              </w:rPr>
            </w:pPr>
            <w:r w:rsidRPr="005E2B4C">
              <w:rPr>
                <w:color w:val="000000"/>
                <w:sz w:val="16"/>
                <w:szCs w:val="16"/>
              </w:rPr>
              <w:t>-0.380***</w:t>
            </w:r>
          </w:p>
        </w:tc>
        <w:tc>
          <w:tcPr>
            <w:tcW w:w="0" w:type="auto"/>
            <w:tcBorders>
              <w:top w:val="nil"/>
              <w:left w:val="nil"/>
              <w:bottom w:val="nil"/>
              <w:right w:val="nil"/>
            </w:tcBorders>
            <w:shd w:val="clear" w:color="auto" w:fill="auto"/>
            <w:noWrap/>
            <w:vAlign w:val="center"/>
            <w:hideMark/>
          </w:tcPr>
          <w:p w14:paraId="107E24F0" w14:textId="77777777" w:rsidR="00847F65" w:rsidRPr="005E2B4C" w:rsidRDefault="00847F65" w:rsidP="00090E3A">
            <w:pPr>
              <w:jc w:val="center"/>
              <w:rPr>
                <w:color w:val="000000"/>
                <w:sz w:val="16"/>
                <w:szCs w:val="16"/>
              </w:rPr>
            </w:pPr>
            <w:r w:rsidRPr="005E2B4C">
              <w:rPr>
                <w:color w:val="000000"/>
                <w:sz w:val="16"/>
                <w:szCs w:val="16"/>
              </w:rPr>
              <w:t>-0.431***</w:t>
            </w:r>
          </w:p>
        </w:tc>
      </w:tr>
      <w:tr w:rsidR="006A00B7" w:rsidRPr="005E2B4C" w14:paraId="59F2EA28" w14:textId="77777777" w:rsidTr="006A00B7">
        <w:trPr>
          <w:trHeight w:val="300"/>
        </w:trPr>
        <w:tc>
          <w:tcPr>
            <w:tcW w:w="0" w:type="auto"/>
            <w:tcBorders>
              <w:top w:val="nil"/>
              <w:left w:val="nil"/>
              <w:bottom w:val="nil"/>
              <w:right w:val="nil"/>
            </w:tcBorders>
            <w:shd w:val="clear" w:color="auto" w:fill="auto"/>
            <w:noWrap/>
            <w:vAlign w:val="center"/>
            <w:hideMark/>
          </w:tcPr>
          <w:p w14:paraId="23F099F8" w14:textId="77777777" w:rsidR="00847F65" w:rsidRPr="005E2B4C" w:rsidRDefault="00847F65" w:rsidP="00090E3A">
            <w:pPr>
              <w:jc w:val="center"/>
              <w:rPr>
                <w:color w:val="000000"/>
                <w:sz w:val="16"/>
                <w:szCs w:val="16"/>
              </w:rPr>
            </w:pPr>
          </w:p>
        </w:tc>
        <w:tc>
          <w:tcPr>
            <w:tcW w:w="0" w:type="auto"/>
            <w:tcBorders>
              <w:top w:val="nil"/>
              <w:left w:val="nil"/>
              <w:bottom w:val="nil"/>
              <w:right w:val="nil"/>
            </w:tcBorders>
            <w:shd w:val="clear" w:color="auto" w:fill="auto"/>
            <w:noWrap/>
            <w:vAlign w:val="center"/>
            <w:hideMark/>
          </w:tcPr>
          <w:p w14:paraId="604F7591" w14:textId="77777777" w:rsidR="00847F65" w:rsidRPr="005E2B4C" w:rsidRDefault="00847F65" w:rsidP="00090E3A">
            <w:pPr>
              <w:jc w:val="center"/>
              <w:rPr>
                <w:color w:val="000000"/>
                <w:sz w:val="16"/>
                <w:szCs w:val="16"/>
              </w:rPr>
            </w:pPr>
            <w:r w:rsidRPr="005E2B4C">
              <w:rPr>
                <w:color w:val="000000"/>
                <w:sz w:val="16"/>
                <w:szCs w:val="16"/>
              </w:rPr>
              <w:t>(0.0207)</w:t>
            </w:r>
          </w:p>
        </w:tc>
        <w:tc>
          <w:tcPr>
            <w:tcW w:w="0" w:type="auto"/>
            <w:tcBorders>
              <w:top w:val="nil"/>
              <w:left w:val="nil"/>
              <w:bottom w:val="nil"/>
              <w:right w:val="nil"/>
            </w:tcBorders>
            <w:shd w:val="clear" w:color="auto" w:fill="auto"/>
            <w:noWrap/>
            <w:vAlign w:val="center"/>
            <w:hideMark/>
          </w:tcPr>
          <w:p w14:paraId="635E1789" w14:textId="77777777" w:rsidR="00847F65" w:rsidRPr="005E2B4C" w:rsidRDefault="00847F65" w:rsidP="00090E3A">
            <w:pPr>
              <w:jc w:val="center"/>
              <w:rPr>
                <w:color w:val="000000"/>
                <w:sz w:val="16"/>
                <w:szCs w:val="16"/>
              </w:rPr>
            </w:pPr>
            <w:r w:rsidRPr="005E2B4C">
              <w:rPr>
                <w:color w:val="000000"/>
                <w:sz w:val="16"/>
                <w:szCs w:val="16"/>
              </w:rPr>
              <w:t>(0.0183)</w:t>
            </w:r>
          </w:p>
        </w:tc>
        <w:tc>
          <w:tcPr>
            <w:tcW w:w="0" w:type="auto"/>
            <w:tcBorders>
              <w:top w:val="nil"/>
              <w:left w:val="nil"/>
              <w:bottom w:val="nil"/>
              <w:right w:val="nil"/>
            </w:tcBorders>
            <w:shd w:val="clear" w:color="auto" w:fill="auto"/>
            <w:noWrap/>
            <w:vAlign w:val="center"/>
            <w:hideMark/>
          </w:tcPr>
          <w:p w14:paraId="2BB9D722" w14:textId="77777777" w:rsidR="00847F65" w:rsidRPr="005E2B4C" w:rsidRDefault="00847F65" w:rsidP="00090E3A">
            <w:pPr>
              <w:jc w:val="center"/>
              <w:rPr>
                <w:color w:val="000000"/>
                <w:sz w:val="16"/>
                <w:szCs w:val="16"/>
              </w:rPr>
            </w:pPr>
            <w:r w:rsidRPr="005E2B4C">
              <w:rPr>
                <w:color w:val="000000"/>
                <w:sz w:val="16"/>
                <w:szCs w:val="16"/>
              </w:rPr>
              <w:t>(0.112)</w:t>
            </w:r>
          </w:p>
        </w:tc>
        <w:tc>
          <w:tcPr>
            <w:tcW w:w="0" w:type="auto"/>
            <w:tcBorders>
              <w:top w:val="nil"/>
              <w:left w:val="nil"/>
              <w:bottom w:val="nil"/>
              <w:right w:val="nil"/>
            </w:tcBorders>
            <w:shd w:val="clear" w:color="auto" w:fill="auto"/>
            <w:noWrap/>
            <w:vAlign w:val="center"/>
            <w:hideMark/>
          </w:tcPr>
          <w:p w14:paraId="137F1091" w14:textId="77777777" w:rsidR="00847F65" w:rsidRPr="005E2B4C" w:rsidRDefault="00847F65" w:rsidP="00090E3A">
            <w:pPr>
              <w:jc w:val="center"/>
              <w:rPr>
                <w:color w:val="000000"/>
                <w:sz w:val="16"/>
                <w:szCs w:val="16"/>
              </w:rPr>
            </w:pPr>
            <w:r w:rsidRPr="005E2B4C">
              <w:rPr>
                <w:color w:val="000000"/>
                <w:sz w:val="16"/>
                <w:szCs w:val="16"/>
              </w:rPr>
              <w:t>(0.0973)</w:t>
            </w:r>
          </w:p>
        </w:tc>
        <w:tc>
          <w:tcPr>
            <w:tcW w:w="0" w:type="auto"/>
            <w:tcBorders>
              <w:top w:val="nil"/>
              <w:left w:val="single" w:sz="4" w:space="0" w:color="auto"/>
              <w:bottom w:val="nil"/>
              <w:right w:val="nil"/>
            </w:tcBorders>
            <w:shd w:val="clear" w:color="auto" w:fill="auto"/>
            <w:noWrap/>
            <w:vAlign w:val="center"/>
            <w:hideMark/>
          </w:tcPr>
          <w:p w14:paraId="0CAB3CA8" w14:textId="77777777" w:rsidR="00847F65" w:rsidRPr="005E2B4C" w:rsidRDefault="00847F65" w:rsidP="00090E3A">
            <w:pPr>
              <w:jc w:val="center"/>
              <w:rPr>
                <w:color w:val="000000"/>
                <w:sz w:val="16"/>
                <w:szCs w:val="16"/>
              </w:rPr>
            </w:pPr>
            <w:r w:rsidRPr="005E2B4C">
              <w:rPr>
                <w:color w:val="000000"/>
                <w:sz w:val="16"/>
                <w:szCs w:val="16"/>
              </w:rPr>
              <w:t>(0.0205)</w:t>
            </w:r>
          </w:p>
        </w:tc>
        <w:tc>
          <w:tcPr>
            <w:tcW w:w="0" w:type="auto"/>
            <w:tcBorders>
              <w:top w:val="nil"/>
              <w:left w:val="nil"/>
              <w:bottom w:val="nil"/>
              <w:right w:val="nil"/>
            </w:tcBorders>
            <w:shd w:val="clear" w:color="auto" w:fill="auto"/>
            <w:noWrap/>
            <w:vAlign w:val="center"/>
            <w:hideMark/>
          </w:tcPr>
          <w:p w14:paraId="2042B26E" w14:textId="77777777" w:rsidR="00847F65" w:rsidRPr="005E2B4C" w:rsidRDefault="00847F65" w:rsidP="00090E3A">
            <w:pPr>
              <w:jc w:val="center"/>
              <w:rPr>
                <w:color w:val="000000"/>
                <w:sz w:val="16"/>
                <w:szCs w:val="16"/>
              </w:rPr>
            </w:pPr>
            <w:r w:rsidRPr="005E2B4C">
              <w:rPr>
                <w:color w:val="000000"/>
                <w:sz w:val="16"/>
                <w:szCs w:val="16"/>
              </w:rPr>
              <w:t>(0.0182)</w:t>
            </w:r>
          </w:p>
        </w:tc>
        <w:tc>
          <w:tcPr>
            <w:tcW w:w="0" w:type="auto"/>
            <w:tcBorders>
              <w:top w:val="nil"/>
              <w:left w:val="nil"/>
              <w:bottom w:val="nil"/>
              <w:right w:val="nil"/>
            </w:tcBorders>
            <w:shd w:val="clear" w:color="auto" w:fill="auto"/>
            <w:noWrap/>
            <w:vAlign w:val="center"/>
            <w:hideMark/>
          </w:tcPr>
          <w:p w14:paraId="39C3DEAF" w14:textId="77777777" w:rsidR="00847F65" w:rsidRPr="005E2B4C" w:rsidRDefault="00847F65" w:rsidP="00090E3A">
            <w:pPr>
              <w:jc w:val="center"/>
              <w:rPr>
                <w:color w:val="000000"/>
                <w:sz w:val="16"/>
                <w:szCs w:val="16"/>
              </w:rPr>
            </w:pPr>
            <w:r w:rsidRPr="005E2B4C">
              <w:rPr>
                <w:color w:val="000000"/>
                <w:sz w:val="16"/>
                <w:szCs w:val="16"/>
              </w:rPr>
              <w:t>(0.11)</w:t>
            </w:r>
          </w:p>
        </w:tc>
        <w:tc>
          <w:tcPr>
            <w:tcW w:w="0" w:type="auto"/>
            <w:tcBorders>
              <w:top w:val="nil"/>
              <w:left w:val="nil"/>
              <w:bottom w:val="nil"/>
              <w:right w:val="nil"/>
            </w:tcBorders>
            <w:shd w:val="clear" w:color="auto" w:fill="auto"/>
            <w:noWrap/>
            <w:vAlign w:val="center"/>
            <w:hideMark/>
          </w:tcPr>
          <w:p w14:paraId="2A42A64F" w14:textId="77777777" w:rsidR="00847F65" w:rsidRPr="005E2B4C" w:rsidRDefault="00847F65" w:rsidP="00090E3A">
            <w:pPr>
              <w:jc w:val="center"/>
              <w:rPr>
                <w:color w:val="000000"/>
                <w:sz w:val="16"/>
                <w:szCs w:val="16"/>
              </w:rPr>
            </w:pPr>
            <w:r w:rsidRPr="005E2B4C">
              <w:rPr>
                <w:color w:val="000000"/>
                <w:sz w:val="16"/>
                <w:szCs w:val="16"/>
              </w:rPr>
              <w:t>(0.0966)</w:t>
            </w:r>
          </w:p>
        </w:tc>
      </w:tr>
      <w:tr w:rsidR="006A00B7" w:rsidRPr="005E2B4C" w14:paraId="0A4C1DC5" w14:textId="77777777" w:rsidTr="006A00B7">
        <w:trPr>
          <w:trHeight w:val="300"/>
        </w:trPr>
        <w:tc>
          <w:tcPr>
            <w:tcW w:w="0" w:type="auto"/>
            <w:tcBorders>
              <w:top w:val="nil"/>
              <w:left w:val="nil"/>
              <w:bottom w:val="nil"/>
              <w:right w:val="nil"/>
            </w:tcBorders>
            <w:shd w:val="clear" w:color="auto" w:fill="auto"/>
            <w:noWrap/>
            <w:vAlign w:val="center"/>
            <w:hideMark/>
          </w:tcPr>
          <w:p w14:paraId="570DE8FB" w14:textId="77777777" w:rsidR="00847F65" w:rsidRPr="005E2B4C" w:rsidRDefault="00847F65" w:rsidP="00090E3A">
            <w:pPr>
              <w:jc w:val="center"/>
              <w:rPr>
                <w:color w:val="000000"/>
                <w:sz w:val="16"/>
                <w:szCs w:val="16"/>
              </w:rPr>
            </w:pPr>
            <m:oMathPara>
              <m:oMathParaPr>
                <m:jc m:val="left"/>
              </m:oMathParaPr>
              <m:oMath>
                <m:r>
                  <w:rPr>
                    <w:rFonts w:ascii="Cambria Math" w:hAnsi="Cambria Math"/>
                    <w:color w:val="000000"/>
                    <w:sz w:val="16"/>
                    <w:szCs w:val="16"/>
                  </w:rPr>
                  <m:t xml:space="preserve">∆ </m:t>
                </m:r>
                <m:sSub>
                  <m:sSubPr>
                    <m:ctrlPr>
                      <w:rPr>
                        <w:rFonts w:ascii="Cambria Math" w:hAnsi="Cambria Math"/>
                        <w:i/>
                        <w:color w:val="000000"/>
                        <w:sz w:val="16"/>
                        <w:szCs w:val="16"/>
                      </w:rPr>
                    </m:ctrlPr>
                  </m:sSubPr>
                  <m:e>
                    <m:r>
                      <w:rPr>
                        <w:rFonts w:ascii="Cambria Math" w:hAnsi="Cambria Math"/>
                        <w:color w:val="000000"/>
                        <w:sz w:val="16"/>
                        <w:szCs w:val="16"/>
                      </w:rPr>
                      <m:t>fta</m:t>
                    </m:r>
                  </m:e>
                  <m:sub>
                    <m:r>
                      <w:rPr>
                        <w:rFonts w:ascii="Cambria Math" w:hAnsi="Cambria Math"/>
                        <w:color w:val="000000"/>
                        <w:sz w:val="16"/>
                        <w:szCs w:val="16"/>
                      </w:rPr>
                      <m:t>ij,t+1</m:t>
                    </m:r>
                  </m:sub>
                </m:sSub>
              </m:oMath>
            </m:oMathPara>
          </w:p>
        </w:tc>
        <w:tc>
          <w:tcPr>
            <w:tcW w:w="0" w:type="auto"/>
            <w:tcBorders>
              <w:top w:val="nil"/>
              <w:left w:val="nil"/>
              <w:bottom w:val="nil"/>
              <w:right w:val="nil"/>
            </w:tcBorders>
            <w:shd w:val="clear" w:color="auto" w:fill="auto"/>
            <w:noWrap/>
            <w:vAlign w:val="center"/>
            <w:hideMark/>
          </w:tcPr>
          <w:p w14:paraId="4BAFC6F7" w14:textId="77777777" w:rsidR="00847F65" w:rsidRPr="005E2B4C" w:rsidRDefault="00847F65" w:rsidP="00090E3A">
            <w:pPr>
              <w:jc w:val="center"/>
              <w:rPr>
                <w:color w:val="000000"/>
                <w:sz w:val="16"/>
                <w:szCs w:val="16"/>
              </w:rPr>
            </w:pPr>
            <w:r w:rsidRPr="005E2B4C">
              <w:rPr>
                <w:color w:val="000000"/>
                <w:sz w:val="16"/>
                <w:szCs w:val="16"/>
              </w:rPr>
              <w:t>0.042*</w:t>
            </w:r>
          </w:p>
        </w:tc>
        <w:tc>
          <w:tcPr>
            <w:tcW w:w="0" w:type="auto"/>
            <w:tcBorders>
              <w:top w:val="nil"/>
              <w:left w:val="nil"/>
              <w:bottom w:val="nil"/>
              <w:right w:val="nil"/>
            </w:tcBorders>
            <w:shd w:val="clear" w:color="auto" w:fill="auto"/>
            <w:noWrap/>
            <w:vAlign w:val="center"/>
            <w:hideMark/>
          </w:tcPr>
          <w:p w14:paraId="3170CD25" w14:textId="77777777" w:rsidR="00847F65" w:rsidRPr="005E2B4C" w:rsidRDefault="00847F65" w:rsidP="00090E3A">
            <w:pPr>
              <w:jc w:val="center"/>
              <w:rPr>
                <w:color w:val="000000"/>
                <w:sz w:val="16"/>
                <w:szCs w:val="16"/>
              </w:rPr>
            </w:pPr>
            <w:r w:rsidRPr="005E2B4C">
              <w:rPr>
                <w:color w:val="000000"/>
                <w:sz w:val="16"/>
                <w:szCs w:val="16"/>
              </w:rPr>
              <w:t>0.040*</w:t>
            </w:r>
          </w:p>
        </w:tc>
        <w:tc>
          <w:tcPr>
            <w:tcW w:w="0" w:type="auto"/>
            <w:tcBorders>
              <w:top w:val="nil"/>
              <w:left w:val="nil"/>
              <w:bottom w:val="nil"/>
              <w:right w:val="nil"/>
            </w:tcBorders>
            <w:shd w:val="clear" w:color="auto" w:fill="auto"/>
            <w:noWrap/>
            <w:vAlign w:val="center"/>
            <w:hideMark/>
          </w:tcPr>
          <w:p w14:paraId="4F7ACEFF" w14:textId="77777777" w:rsidR="00847F65" w:rsidRPr="005E2B4C" w:rsidRDefault="00847F65" w:rsidP="00090E3A">
            <w:pPr>
              <w:jc w:val="center"/>
              <w:rPr>
                <w:color w:val="000000"/>
                <w:sz w:val="16"/>
                <w:szCs w:val="16"/>
              </w:rPr>
            </w:pPr>
            <w:r w:rsidRPr="005E2B4C">
              <w:rPr>
                <w:color w:val="000000"/>
                <w:sz w:val="16"/>
                <w:szCs w:val="16"/>
              </w:rPr>
              <w:t>0.255***</w:t>
            </w:r>
          </w:p>
        </w:tc>
        <w:tc>
          <w:tcPr>
            <w:tcW w:w="0" w:type="auto"/>
            <w:tcBorders>
              <w:top w:val="nil"/>
              <w:left w:val="nil"/>
              <w:bottom w:val="nil"/>
              <w:right w:val="nil"/>
            </w:tcBorders>
            <w:shd w:val="clear" w:color="auto" w:fill="auto"/>
            <w:noWrap/>
            <w:vAlign w:val="center"/>
            <w:hideMark/>
          </w:tcPr>
          <w:p w14:paraId="3563DC36" w14:textId="77777777" w:rsidR="00847F65" w:rsidRPr="005E2B4C" w:rsidRDefault="00847F65" w:rsidP="00090E3A">
            <w:pPr>
              <w:jc w:val="center"/>
              <w:rPr>
                <w:color w:val="000000"/>
                <w:sz w:val="16"/>
                <w:szCs w:val="16"/>
              </w:rPr>
            </w:pPr>
            <w:r w:rsidRPr="005E2B4C">
              <w:rPr>
                <w:color w:val="000000"/>
                <w:sz w:val="16"/>
                <w:szCs w:val="16"/>
              </w:rPr>
              <w:t>0.252***</w:t>
            </w:r>
          </w:p>
        </w:tc>
        <w:tc>
          <w:tcPr>
            <w:tcW w:w="0" w:type="auto"/>
            <w:tcBorders>
              <w:top w:val="nil"/>
              <w:left w:val="single" w:sz="4" w:space="0" w:color="auto"/>
              <w:bottom w:val="nil"/>
              <w:right w:val="nil"/>
            </w:tcBorders>
            <w:shd w:val="clear" w:color="auto" w:fill="auto"/>
            <w:noWrap/>
            <w:vAlign w:val="center"/>
            <w:hideMark/>
          </w:tcPr>
          <w:p w14:paraId="5303D9B5" w14:textId="77777777" w:rsidR="00847F65" w:rsidRPr="005E2B4C" w:rsidRDefault="00847F65" w:rsidP="00090E3A">
            <w:pPr>
              <w:jc w:val="center"/>
              <w:rPr>
                <w:color w:val="000000"/>
                <w:sz w:val="16"/>
                <w:szCs w:val="16"/>
              </w:rPr>
            </w:pPr>
            <w:r w:rsidRPr="005E2B4C">
              <w:rPr>
                <w:color w:val="000000"/>
                <w:sz w:val="16"/>
                <w:szCs w:val="16"/>
              </w:rPr>
              <w:t>0.037</w:t>
            </w:r>
          </w:p>
        </w:tc>
        <w:tc>
          <w:tcPr>
            <w:tcW w:w="0" w:type="auto"/>
            <w:tcBorders>
              <w:top w:val="nil"/>
              <w:left w:val="nil"/>
              <w:bottom w:val="nil"/>
              <w:right w:val="nil"/>
            </w:tcBorders>
            <w:shd w:val="clear" w:color="auto" w:fill="auto"/>
            <w:noWrap/>
            <w:vAlign w:val="center"/>
            <w:hideMark/>
          </w:tcPr>
          <w:p w14:paraId="55C3E9A4" w14:textId="77777777" w:rsidR="00847F65" w:rsidRPr="005E2B4C" w:rsidRDefault="00847F65" w:rsidP="00090E3A">
            <w:pPr>
              <w:jc w:val="center"/>
              <w:rPr>
                <w:color w:val="000000"/>
                <w:sz w:val="16"/>
                <w:szCs w:val="16"/>
              </w:rPr>
            </w:pPr>
            <w:r w:rsidRPr="005E2B4C">
              <w:rPr>
                <w:color w:val="000000"/>
                <w:sz w:val="16"/>
                <w:szCs w:val="16"/>
              </w:rPr>
              <w:t>0.038***</w:t>
            </w:r>
          </w:p>
        </w:tc>
        <w:tc>
          <w:tcPr>
            <w:tcW w:w="0" w:type="auto"/>
            <w:tcBorders>
              <w:top w:val="nil"/>
              <w:left w:val="nil"/>
              <w:bottom w:val="nil"/>
              <w:right w:val="nil"/>
            </w:tcBorders>
            <w:shd w:val="clear" w:color="auto" w:fill="auto"/>
            <w:noWrap/>
            <w:vAlign w:val="center"/>
            <w:hideMark/>
          </w:tcPr>
          <w:p w14:paraId="57E72034" w14:textId="77777777" w:rsidR="00847F65" w:rsidRPr="005E2B4C" w:rsidRDefault="00847F65" w:rsidP="00090E3A">
            <w:pPr>
              <w:jc w:val="center"/>
              <w:rPr>
                <w:color w:val="000000"/>
                <w:sz w:val="16"/>
                <w:szCs w:val="16"/>
              </w:rPr>
            </w:pPr>
            <w:r w:rsidRPr="005E2B4C">
              <w:rPr>
                <w:color w:val="000000"/>
                <w:sz w:val="16"/>
                <w:szCs w:val="16"/>
              </w:rPr>
              <w:t>0.223***</w:t>
            </w:r>
          </w:p>
        </w:tc>
        <w:tc>
          <w:tcPr>
            <w:tcW w:w="0" w:type="auto"/>
            <w:tcBorders>
              <w:top w:val="nil"/>
              <w:left w:val="nil"/>
              <w:bottom w:val="nil"/>
              <w:right w:val="nil"/>
            </w:tcBorders>
            <w:shd w:val="clear" w:color="auto" w:fill="auto"/>
            <w:noWrap/>
            <w:vAlign w:val="center"/>
            <w:hideMark/>
          </w:tcPr>
          <w:p w14:paraId="58CB4CBF" w14:textId="77777777" w:rsidR="00847F65" w:rsidRPr="005E2B4C" w:rsidRDefault="00847F65" w:rsidP="00090E3A">
            <w:pPr>
              <w:jc w:val="center"/>
              <w:rPr>
                <w:color w:val="000000"/>
                <w:sz w:val="16"/>
                <w:szCs w:val="16"/>
              </w:rPr>
            </w:pPr>
            <w:r w:rsidRPr="005E2B4C">
              <w:rPr>
                <w:color w:val="000000"/>
                <w:sz w:val="16"/>
                <w:szCs w:val="16"/>
              </w:rPr>
              <w:t>0.224***</w:t>
            </w:r>
          </w:p>
        </w:tc>
      </w:tr>
      <w:tr w:rsidR="006A00B7" w:rsidRPr="005E2B4C" w14:paraId="534BBBCA" w14:textId="77777777" w:rsidTr="006A00B7">
        <w:trPr>
          <w:trHeight w:val="300"/>
        </w:trPr>
        <w:tc>
          <w:tcPr>
            <w:tcW w:w="0" w:type="auto"/>
            <w:tcBorders>
              <w:top w:val="nil"/>
              <w:left w:val="nil"/>
              <w:bottom w:val="nil"/>
              <w:right w:val="nil"/>
            </w:tcBorders>
            <w:shd w:val="clear" w:color="auto" w:fill="auto"/>
            <w:noWrap/>
            <w:vAlign w:val="center"/>
            <w:hideMark/>
          </w:tcPr>
          <w:p w14:paraId="251ED500" w14:textId="77777777" w:rsidR="00847F65" w:rsidRPr="005E2B4C" w:rsidRDefault="00847F65" w:rsidP="00090E3A">
            <w:pPr>
              <w:jc w:val="center"/>
              <w:rPr>
                <w:color w:val="000000"/>
                <w:sz w:val="16"/>
                <w:szCs w:val="16"/>
              </w:rPr>
            </w:pPr>
          </w:p>
        </w:tc>
        <w:tc>
          <w:tcPr>
            <w:tcW w:w="0" w:type="auto"/>
            <w:tcBorders>
              <w:top w:val="nil"/>
              <w:left w:val="nil"/>
              <w:bottom w:val="nil"/>
              <w:right w:val="nil"/>
            </w:tcBorders>
            <w:shd w:val="clear" w:color="auto" w:fill="auto"/>
            <w:noWrap/>
            <w:vAlign w:val="center"/>
            <w:hideMark/>
          </w:tcPr>
          <w:p w14:paraId="2ADE30F3" w14:textId="77777777" w:rsidR="00847F65" w:rsidRPr="005E2B4C" w:rsidRDefault="00847F65" w:rsidP="00090E3A">
            <w:pPr>
              <w:jc w:val="center"/>
              <w:rPr>
                <w:color w:val="000000"/>
                <w:sz w:val="16"/>
                <w:szCs w:val="16"/>
              </w:rPr>
            </w:pPr>
            <w:r w:rsidRPr="005E2B4C">
              <w:rPr>
                <w:color w:val="000000"/>
                <w:sz w:val="16"/>
                <w:szCs w:val="16"/>
              </w:rPr>
              <w:t>(0.0185)</w:t>
            </w:r>
          </w:p>
        </w:tc>
        <w:tc>
          <w:tcPr>
            <w:tcW w:w="0" w:type="auto"/>
            <w:tcBorders>
              <w:top w:val="nil"/>
              <w:left w:val="nil"/>
              <w:bottom w:val="nil"/>
              <w:right w:val="nil"/>
            </w:tcBorders>
            <w:shd w:val="clear" w:color="auto" w:fill="auto"/>
            <w:noWrap/>
            <w:vAlign w:val="center"/>
            <w:hideMark/>
          </w:tcPr>
          <w:p w14:paraId="2908ACDA" w14:textId="77777777" w:rsidR="00847F65" w:rsidRPr="005E2B4C" w:rsidRDefault="00847F65" w:rsidP="00090E3A">
            <w:pPr>
              <w:jc w:val="center"/>
              <w:rPr>
                <w:color w:val="000000"/>
                <w:sz w:val="16"/>
                <w:szCs w:val="16"/>
              </w:rPr>
            </w:pPr>
            <w:r w:rsidRPr="005E2B4C">
              <w:rPr>
                <w:color w:val="000000"/>
                <w:sz w:val="16"/>
                <w:szCs w:val="16"/>
              </w:rPr>
              <w:t>(0.0167)</w:t>
            </w:r>
          </w:p>
        </w:tc>
        <w:tc>
          <w:tcPr>
            <w:tcW w:w="0" w:type="auto"/>
            <w:tcBorders>
              <w:top w:val="nil"/>
              <w:left w:val="nil"/>
              <w:bottom w:val="nil"/>
              <w:right w:val="nil"/>
            </w:tcBorders>
            <w:shd w:val="clear" w:color="auto" w:fill="auto"/>
            <w:noWrap/>
            <w:vAlign w:val="center"/>
            <w:hideMark/>
          </w:tcPr>
          <w:p w14:paraId="4CDBE11D" w14:textId="77777777" w:rsidR="00847F65" w:rsidRPr="005E2B4C" w:rsidRDefault="00847F65" w:rsidP="00090E3A">
            <w:pPr>
              <w:jc w:val="center"/>
              <w:rPr>
                <w:color w:val="000000"/>
                <w:sz w:val="16"/>
                <w:szCs w:val="16"/>
              </w:rPr>
            </w:pPr>
            <w:r w:rsidRPr="005E2B4C">
              <w:rPr>
                <w:color w:val="000000"/>
                <w:sz w:val="16"/>
                <w:szCs w:val="16"/>
              </w:rPr>
              <w:t>(0.0432)</w:t>
            </w:r>
          </w:p>
        </w:tc>
        <w:tc>
          <w:tcPr>
            <w:tcW w:w="0" w:type="auto"/>
            <w:tcBorders>
              <w:top w:val="nil"/>
              <w:left w:val="nil"/>
              <w:bottom w:val="nil"/>
              <w:right w:val="nil"/>
            </w:tcBorders>
            <w:shd w:val="clear" w:color="auto" w:fill="auto"/>
            <w:noWrap/>
            <w:vAlign w:val="center"/>
            <w:hideMark/>
          </w:tcPr>
          <w:p w14:paraId="2A57FF09" w14:textId="77777777" w:rsidR="00847F65" w:rsidRPr="005E2B4C" w:rsidRDefault="00847F65" w:rsidP="00090E3A">
            <w:pPr>
              <w:jc w:val="center"/>
              <w:rPr>
                <w:color w:val="000000"/>
                <w:sz w:val="16"/>
                <w:szCs w:val="16"/>
              </w:rPr>
            </w:pPr>
            <w:r w:rsidRPr="005E2B4C">
              <w:rPr>
                <w:color w:val="000000"/>
                <w:sz w:val="16"/>
                <w:szCs w:val="16"/>
              </w:rPr>
              <w:t>(0.0391)</w:t>
            </w:r>
          </w:p>
        </w:tc>
        <w:tc>
          <w:tcPr>
            <w:tcW w:w="0" w:type="auto"/>
            <w:tcBorders>
              <w:top w:val="nil"/>
              <w:left w:val="single" w:sz="4" w:space="0" w:color="auto"/>
              <w:bottom w:val="nil"/>
              <w:right w:val="nil"/>
            </w:tcBorders>
            <w:shd w:val="clear" w:color="auto" w:fill="auto"/>
            <w:noWrap/>
            <w:vAlign w:val="center"/>
            <w:hideMark/>
          </w:tcPr>
          <w:p w14:paraId="0CDFCC85" w14:textId="77777777" w:rsidR="00847F65" w:rsidRPr="005E2B4C" w:rsidRDefault="00847F65" w:rsidP="00090E3A">
            <w:pPr>
              <w:jc w:val="center"/>
              <w:rPr>
                <w:color w:val="000000"/>
                <w:sz w:val="16"/>
                <w:szCs w:val="16"/>
              </w:rPr>
            </w:pPr>
            <w:r w:rsidRPr="005E2B4C">
              <w:rPr>
                <w:color w:val="000000"/>
                <w:sz w:val="16"/>
                <w:szCs w:val="16"/>
              </w:rPr>
              <w:t>(0.0196)</w:t>
            </w:r>
          </w:p>
        </w:tc>
        <w:tc>
          <w:tcPr>
            <w:tcW w:w="0" w:type="auto"/>
            <w:tcBorders>
              <w:top w:val="nil"/>
              <w:left w:val="nil"/>
              <w:bottom w:val="nil"/>
              <w:right w:val="nil"/>
            </w:tcBorders>
            <w:shd w:val="clear" w:color="auto" w:fill="auto"/>
            <w:noWrap/>
            <w:vAlign w:val="center"/>
            <w:hideMark/>
          </w:tcPr>
          <w:p w14:paraId="00B5D267" w14:textId="77777777" w:rsidR="00847F65" w:rsidRPr="005E2B4C" w:rsidRDefault="00847F65" w:rsidP="00090E3A">
            <w:pPr>
              <w:jc w:val="center"/>
              <w:rPr>
                <w:color w:val="000000"/>
                <w:sz w:val="16"/>
                <w:szCs w:val="16"/>
              </w:rPr>
            </w:pPr>
            <w:r w:rsidRPr="005E2B4C">
              <w:rPr>
                <w:color w:val="000000"/>
                <w:sz w:val="16"/>
                <w:szCs w:val="16"/>
              </w:rPr>
              <w:t>(0.0177)</w:t>
            </w:r>
          </w:p>
        </w:tc>
        <w:tc>
          <w:tcPr>
            <w:tcW w:w="0" w:type="auto"/>
            <w:tcBorders>
              <w:top w:val="nil"/>
              <w:left w:val="nil"/>
              <w:bottom w:val="nil"/>
              <w:right w:val="nil"/>
            </w:tcBorders>
            <w:shd w:val="clear" w:color="auto" w:fill="auto"/>
            <w:noWrap/>
            <w:vAlign w:val="center"/>
            <w:hideMark/>
          </w:tcPr>
          <w:p w14:paraId="5A5562DA" w14:textId="77777777" w:rsidR="00847F65" w:rsidRPr="005E2B4C" w:rsidRDefault="00847F65" w:rsidP="00090E3A">
            <w:pPr>
              <w:jc w:val="center"/>
              <w:rPr>
                <w:color w:val="000000"/>
                <w:sz w:val="16"/>
                <w:szCs w:val="16"/>
              </w:rPr>
            </w:pPr>
            <w:r w:rsidRPr="005E2B4C">
              <w:rPr>
                <w:color w:val="000000"/>
                <w:sz w:val="16"/>
                <w:szCs w:val="16"/>
              </w:rPr>
              <w:t>(0.0464)</w:t>
            </w:r>
          </w:p>
        </w:tc>
        <w:tc>
          <w:tcPr>
            <w:tcW w:w="0" w:type="auto"/>
            <w:tcBorders>
              <w:top w:val="nil"/>
              <w:left w:val="nil"/>
              <w:bottom w:val="nil"/>
              <w:right w:val="nil"/>
            </w:tcBorders>
            <w:shd w:val="clear" w:color="auto" w:fill="auto"/>
            <w:noWrap/>
            <w:vAlign w:val="center"/>
            <w:hideMark/>
          </w:tcPr>
          <w:p w14:paraId="18BE3032" w14:textId="77777777" w:rsidR="00847F65" w:rsidRPr="005E2B4C" w:rsidRDefault="00847F65" w:rsidP="00090E3A">
            <w:pPr>
              <w:jc w:val="center"/>
              <w:rPr>
                <w:color w:val="000000"/>
                <w:sz w:val="16"/>
                <w:szCs w:val="16"/>
              </w:rPr>
            </w:pPr>
            <w:r w:rsidRPr="005E2B4C">
              <w:rPr>
                <w:color w:val="000000"/>
                <w:sz w:val="16"/>
                <w:szCs w:val="16"/>
              </w:rPr>
              <w:t>(0.0418)</w:t>
            </w:r>
          </w:p>
        </w:tc>
      </w:tr>
      <w:tr w:rsidR="006A00B7" w:rsidRPr="005E2B4C" w14:paraId="7E1B517B" w14:textId="77777777" w:rsidTr="006A00B7">
        <w:trPr>
          <w:trHeight w:val="300"/>
        </w:trPr>
        <w:tc>
          <w:tcPr>
            <w:tcW w:w="0" w:type="auto"/>
            <w:tcBorders>
              <w:top w:val="nil"/>
              <w:left w:val="nil"/>
              <w:bottom w:val="nil"/>
              <w:right w:val="nil"/>
            </w:tcBorders>
            <w:shd w:val="clear" w:color="auto" w:fill="auto"/>
            <w:noWrap/>
            <w:vAlign w:val="center"/>
            <w:hideMark/>
          </w:tcPr>
          <w:p w14:paraId="1B70151E" w14:textId="77777777" w:rsidR="00847F65" w:rsidRPr="005E2B4C" w:rsidRDefault="00847F65" w:rsidP="00090E3A">
            <w:pPr>
              <w:jc w:val="center"/>
              <w:rPr>
                <w:color w:val="000000"/>
                <w:sz w:val="16"/>
                <w:szCs w:val="16"/>
              </w:rPr>
            </w:pPr>
            <m:oMathPara>
              <m:oMathParaPr>
                <m:jc m:val="left"/>
              </m:oMathParaPr>
              <m:oMath>
                <m:r>
                  <w:rPr>
                    <w:rFonts w:ascii="Cambria Math" w:hAnsi="Cambria Math"/>
                    <w:color w:val="000000"/>
                    <w:sz w:val="16"/>
                    <w:szCs w:val="16"/>
                  </w:rPr>
                  <m:t xml:space="preserve">∆ </m:t>
                </m:r>
                <m:sSub>
                  <m:sSubPr>
                    <m:ctrlPr>
                      <w:rPr>
                        <w:rFonts w:ascii="Cambria Math" w:hAnsi="Cambria Math"/>
                        <w:i/>
                        <w:color w:val="000000"/>
                        <w:sz w:val="16"/>
                        <w:szCs w:val="16"/>
                      </w:rPr>
                    </m:ctrlPr>
                  </m:sSubPr>
                  <m:e>
                    <m:r>
                      <w:rPr>
                        <w:rFonts w:ascii="Cambria Math" w:hAnsi="Cambria Math"/>
                        <w:color w:val="000000"/>
                        <w:sz w:val="16"/>
                        <w:szCs w:val="16"/>
                      </w:rPr>
                      <m:t>GATT</m:t>
                    </m:r>
                  </m:e>
                  <m:sub>
                    <m:r>
                      <w:rPr>
                        <w:rFonts w:ascii="Cambria Math" w:hAnsi="Cambria Math"/>
                        <w:color w:val="000000"/>
                        <w:sz w:val="16"/>
                        <w:szCs w:val="16"/>
                      </w:rPr>
                      <m:t>ij,t</m:t>
                    </m:r>
                  </m:sub>
                </m:sSub>
              </m:oMath>
            </m:oMathPara>
          </w:p>
        </w:tc>
        <w:tc>
          <w:tcPr>
            <w:tcW w:w="0" w:type="auto"/>
            <w:tcBorders>
              <w:top w:val="nil"/>
              <w:left w:val="nil"/>
              <w:bottom w:val="nil"/>
              <w:right w:val="nil"/>
            </w:tcBorders>
            <w:shd w:val="clear" w:color="auto" w:fill="auto"/>
            <w:noWrap/>
            <w:vAlign w:val="center"/>
            <w:hideMark/>
          </w:tcPr>
          <w:p w14:paraId="35E6E67B" w14:textId="77777777" w:rsidR="00847F65" w:rsidRPr="005E2B4C" w:rsidRDefault="00847F65" w:rsidP="00090E3A">
            <w:pPr>
              <w:jc w:val="center"/>
              <w:rPr>
                <w:color w:val="000000"/>
                <w:sz w:val="16"/>
                <w:szCs w:val="16"/>
              </w:rPr>
            </w:pPr>
            <w:r w:rsidRPr="005E2B4C">
              <w:rPr>
                <w:color w:val="000000"/>
                <w:sz w:val="16"/>
                <w:szCs w:val="16"/>
              </w:rPr>
              <w:t>0.287***</w:t>
            </w:r>
          </w:p>
        </w:tc>
        <w:tc>
          <w:tcPr>
            <w:tcW w:w="0" w:type="auto"/>
            <w:tcBorders>
              <w:top w:val="nil"/>
              <w:left w:val="nil"/>
              <w:bottom w:val="nil"/>
              <w:right w:val="nil"/>
            </w:tcBorders>
            <w:shd w:val="clear" w:color="auto" w:fill="auto"/>
            <w:noWrap/>
            <w:vAlign w:val="center"/>
            <w:hideMark/>
          </w:tcPr>
          <w:p w14:paraId="7624DA91" w14:textId="77777777" w:rsidR="00847F65" w:rsidRPr="005E2B4C" w:rsidRDefault="00847F65" w:rsidP="00090E3A">
            <w:pPr>
              <w:jc w:val="center"/>
              <w:rPr>
                <w:color w:val="000000"/>
                <w:sz w:val="16"/>
                <w:szCs w:val="16"/>
              </w:rPr>
            </w:pPr>
            <w:r w:rsidRPr="005E2B4C">
              <w:rPr>
                <w:color w:val="000000"/>
                <w:sz w:val="16"/>
                <w:szCs w:val="16"/>
              </w:rPr>
              <w:t>0.314***</w:t>
            </w:r>
          </w:p>
        </w:tc>
        <w:tc>
          <w:tcPr>
            <w:tcW w:w="0" w:type="auto"/>
            <w:tcBorders>
              <w:top w:val="nil"/>
              <w:left w:val="nil"/>
              <w:bottom w:val="nil"/>
              <w:right w:val="nil"/>
            </w:tcBorders>
            <w:shd w:val="clear" w:color="auto" w:fill="auto"/>
            <w:noWrap/>
            <w:vAlign w:val="center"/>
            <w:hideMark/>
          </w:tcPr>
          <w:p w14:paraId="7EE1DD5D" w14:textId="77777777" w:rsidR="00847F65" w:rsidRPr="005E2B4C" w:rsidRDefault="00847F65" w:rsidP="00090E3A">
            <w:pPr>
              <w:jc w:val="center"/>
              <w:rPr>
                <w:color w:val="000000"/>
                <w:sz w:val="16"/>
                <w:szCs w:val="16"/>
              </w:rPr>
            </w:pPr>
            <w:r w:rsidRPr="005E2B4C">
              <w:rPr>
                <w:color w:val="000000"/>
                <w:sz w:val="16"/>
                <w:szCs w:val="16"/>
              </w:rPr>
              <w:t>0.322***</w:t>
            </w:r>
          </w:p>
        </w:tc>
        <w:tc>
          <w:tcPr>
            <w:tcW w:w="0" w:type="auto"/>
            <w:tcBorders>
              <w:top w:val="nil"/>
              <w:left w:val="nil"/>
              <w:bottom w:val="nil"/>
              <w:right w:val="nil"/>
            </w:tcBorders>
            <w:shd w:val="clear" w:color="auto" w:fill="auto"/>
            <w:noWrap/>
            <w:vAlign w:val="center"/>
            <w:hideMark/>
          </w:tcPr>
          <w:p w14:paraId="39F6402E" w14:textId="77777777" w:rsidR="00847F65" w:rsidRPr="005E2B4C" w:rsidRDefault="00847F65" w:rsidP="00090E3A">
            <w:pPr>
              <w:jc w:val="center"/>
              <w:rPr>
                <w:color w:val="000000"/>
                <w:sz w:val="16"/>
                <w:szCs w:val="16"/>
              </w:rPr>
            </w:pPr>
            <w:r w:rsidRPr="005E2B4C">
              <w:rPr>
                <w:color w:val="000000"/>
                <w:sz w:val="16"/>
                <w:szCs w:val="16"/>
              </w:rPr>
              <w:t>0.353***</w:t>
            </w:r>
          </w:p>
        </w:tc>
        <w:tc>
          <w:tcPr>
            <w:tcW w:w="0" w:type="auto"/>
            <w:tcBorders>
              <w:top w:val="nil"/>
              <w:left w:val="single" w:sz="4" w:space="0" w:color="auto"/>
              <w:bottom w:val="nil"/>
              <w:right w:val="nil"/>
            </w:tcBorders>
            <w:shd w:val="clear" w:color="auto" w:fill="auto"/>
            <w:noWrap/>
            <w:vAlign w:val="center"/>
            <w:hideMark/>
          </w:tcPr>
          <w:p w14:paraId="3709073E" w14:textId="77777777" w:rsidR="00847F65" w:rsidRPr="005E2B4C" w:rsidRDefault="00847F65" w:rsidP="00090E3A">
            <w:pPr>
              <w:jc w:val="center"/>
              <w:rPr>
                <w:color w:val="000000"/>
                <w:sz w:val="16"/>
                <w:szCs w:val="16"/>
              </w:rPr>
            </w:pPr>
            <w:r w:rsidRPr="005E2B4C">
              <w:rPr>
                <w:color w:val="000000"/>
                <w:sz w:val="16"/>
                <w:szCs w:val="16"/>
              </w:rPr>
              <w:t>0.302***</w:t>
            </w:r>
          </w:p>
        </w:tc>
        <w:tc>
          <w:tcPr>
            <w:tcW w:w="0" w:type="auto"/>
            <w:tcBorders>
              <w:top w:val="nil"/>
              <w:left w:val="nil"/>
              <w:bottom w:val="nil"/>
              <w:right w:val="nil"/>
            </w:tcBorders>
            <w:shd w:val="clear" w:color="auto" w:fill="auto"/>
            <w:noWrap/>
            <w:vAlign w:val="center"/>
            <w:hideMark/>
          </w:tcPr>
          <w:p w14:paraId="7067A9E4" w14:textId="77777777" w:rsidR="00847F65" w:rsidRPr="005E2B4C" w:rsidRDefault="00847F65" w:rsidP="00090E3A">
            <w:pPr>
              <w:jc w:val="center"/>
              <w:rPr>
                <w:color w:val="000000"/>
                <w:sz w:val="16"/>
                <w:szCs w:val="16"/>
              </w:rPr>
            </w:pPr>
            <w:r w:rsidRPr="005E2B4C">
              <w:rPr>
                <w:color w:val="000000"/>
                <w:sz w:val="16"/>
                <w:szCs w:val="16"/>
              </w:rPr>
              <w:t>0.333***</w:t>
            </w:r>
          </w:p>
        </w:tc>
        <w:tc>
          <w:tcPr>
            <w:tcW w:w="0" w:type="auto"/>
            <w:tcBorders>
              <w:top w:val="nil"/>
              <w:left w:val="nil"/>
              <w:bottom w:val="nil"/>
              <w:right w:val="nil"/>
            </w:tcBorders>
            <w:shd w:val="clear" w:color="auto" w:fill="auto"/>
            <w:noWrap/>
            <w:vAlign w:val="center"/>
            <w:hideMark/>
          </w:tcPr>
          <w:p w14:paraId="53ED7DE6" w14:textId="77777777" w:rsidR="00847F65" w:rsidRPr="005E2B4C" w:rsidRDefault="00847F65" w:rsidP="00090E3A">
            <w:pPr>
              <w:jc w:val="center"/>
              <w:rPr>
                <w:color w:val="000000"/>
                <w:sz w:val="16"/>
                <w:szCs w:val="16"/>
              </w:rPr>
            </w:pPr>
            <w:r w:rsidRPr="005E2B4C">
              <w:rPr>
                <w:color w:val="000000"/>
                <w:sz w:val="16"/>
                <w:szCs w:val="16"/>
              </w:rPr>
              <w:t>0.336***</w:t>
            </w:r>
          </w:p>
        </w:tc>
        <w:tc>
          <w:tcPr>
            <w:tcW w:w="0" w:type="auto"/>
            <w:tcBorders>
              <w:top w:val="nil"/>
              <w:left w:val="nil"/>
              <w:bottom w:val="nil"/>
              <w:right w:val="nil"/>
            </w:tcBorders>
            <w:shd w:val="clear" w:color="auto" w:fill="auto"/>
            <w:noWrap/>
            <w:vAlign w:val="center"/>
            <w:hideMark/>
          </w:tcPr>
          <w:p w14:paraId="5903B3F3" w14:textId="77777777" w:rsidR="00847F65" w:rsidRPr="005E2B4C" w:rsidRDefault="00847F65" w:rsidP="00090E3A">
            <w:pPr>
              <w:jc w:val="center"/>
              <w:rPr>
                <w:color w:val="000000"/>
                <w:sz w:val="16"/>
                <w:szCs w:val="16"/>
              </w:rPr>
            </w:pPr>
            <w:r w:rsidRPr="005E2B4C">
              <w:rPr>
                <w:color w:val="000000"/>
                <w:sz w:val="16"/>
                <w:szCs w:val="16"/>
              </w:rPr>
              <w:t>0.373***</w:t>
            </w:r>
          </w:p>
        </w:tc>
      </w:tr>
      <w:tr w:rsidR="006A00B7" w:rsidRPr="005E2B4C" w14:paraId="780C8BC0" w14:textId="77777777" w:rsidTr="006A00B7">
        <w:trPr>
          <w:trHeight w:val="300"/>
        </w:trPr>
        <w:tc>
          <w:tcPr>
            <w:tcW w:w="0" w:type="auto"/>
            <w:tcBorders>
              <w:top w:val="nil"/>
              <w:left w:val="nil"/>
              <w:bottom w:val="nil"/>
              <w:right w:val="nil"/>
            </w:tcBorders>
            <w:shd w:val="clear" w:color="auto" w:fill="auto"/>
            <w:noWrap/>
            <w:vAlign w:val="center"/>
            <w:hideMark/>
          </w:tcPr>
          <w:p w14:paraId="7911E493" w14:textId="77777777" w:rsidR="00847F65" w:rsidRPr="005E2B4C" w:rsidRDefault="00847F65" w:rsidP="00090E3A">
            <w:pPr>
              <w:jc w:val="center"/>
              <w:rPr>
                <w:color w:val="000000"/>
                <w:sz w:val="16"/>
                <w:szCs w:val="16"/>
              </w:rPr>
            </w:pPr>
          </w:p>
        </w:tc>
        <w:tc>
          <w:tcPr>
            <w:tcW w:w="0" w:type="auto"/>
            <w:tcBorders>
              <w:top w:val="nil"/>
              <w:left w:val="nil"/>
              <w:bottom w:val="nil"/>
              <w:right w:val="nil"/>
            </w:tcBorders>
            <w:shd w:val="clear" w:color="auto" w:fill="auto"/>
            <w:noWrap/>
            <w:vAlign w:val="center"/>
            <w:hideMark/>
          </w:tcPr>
          <w:p w14:paraId="3E7AD636" w14:textId="77777777" w:rsidR="00847F65" w:rsidRPr="005E2B4C" w:rsidRDefault="00847F65" w:rsidP="00090E3A">
            <w:pPr>
              <w:jc w:val="center"/>
              <w:rPr>
                <w:color w:val="000000"/>
                <w:sz w:val="16"/>
                <w:szCs w:val="16"/>
              </w:rPr>
            </w:pPr>
            <w:r w:rsidRPr="005E2B4C">
              <w:rPr>
                <w:color w:val="000000"/>
                <w:sz w:val="16"/>
                <w:szCs w:val="16"/>
              </w:rPr>
              <w:t>(0.0136)</w:t>
            </w:r>
          </w:p>
        </w:tc>
        <w:tc>
          <w:tcPr>
            <w:tcW w:w="0" w:type="auto"/>
            <w:tcBorders>
              <w:top w:val="nil"/>
              <w:left w:val="nil"/>
              <w:bottom w:val="nil"/>
              <w:right w:val="nil"/>
            </w:tcBorders>
            <w:shd w:val="clear" w:color="auto" w:fill="auto"/>
            <w:noWrap/>
            <w:vAlign w:val="center"/>
            <w:hideMark/>
          </w:tcPr>
          <w:p w14:paraId="0978A45F" w14:textId="77777777" w:rsidR="00847F65" w:rsidRPr="005E2B4C" w:rsidRDefault="00847F65" w:rsidP="00090E3A">
            <w:pPr>
              <w:jc w:val="center"/>
              <w:rPr>
                <w:color w:val="000000"/>
                <w:sz w:val="16"/>
                <w:szCs w:val="16"/>
              </w:rPr>
            </w:pPr>
            <w:r w:rsidRPr="005E2B4C">
              <w:rPr>
                <w:color w:val="000000"/>
                <w:sz w:val="16"/>
                <w:szCs w:val="16"/>
              </w:rPr>
              <w:t>(0.0122)</w:t>
            </w:r>
          </w:p>
        </w:tc>
        <w:tc>
          <w:tcPr>
            <w:tcW w:w="0" w:type="auto"/>
            <w:tcBorders>
              <w:top w:val="nil"/>
              <w:left w:val="nil"/>
              <w:bottom w:val="nil"/>
              <w:right w:val="nil"/>
            </w:tcBorders>
            <w:shd w:val="clear" w:color="auto" w:fill="auto"/>
            <w:noWrap/>
            <w:vAlign w:val="center"/>
            <w:hideMark/>
          </w:tcPr>
          <w:p w14:paraId="74468050" w14:textId="77777777" w:rsidR="00847F65" w:rsidRPr="005E2B4C" w:rsidRDefault="00847F65" w:rsidP="00090E3A">
            <w:pPr>
              <w:jc w:val="center"/>
              <w:rPr>
                <w:color w:val="000000"/>
                <w:sz w:val="16"/>
                <w:szCs w:val="16"/>
              </w:rPr>
            </w:pPr>
            <w:r w:rsidRPr="005E2B4C">
              <w:rPr>
                <w:color w:val="000000"/>
                <w:sz w:val="16"/>
                <w:szCs w:val="16"/>
              </w:rPr>
              <w:t>(0.0148)</w:t>
            </w:r>
          </w:p>
        </w:tc>
        <w:tc>
          <w:tcPr>
            <w:tcW w:w="0" w:type="auto"/>
            <w:tcBorders>
              <w:top w:val="nil"/>
              <w:left w:val="nil"/>
              <w:bottom w:val="nil"/>
              <w:right w:val="nil"/>
            </w:tcBorders>
            <w:shd w:val="clear" w:color="auto" w:fill="auto"/>
            <w:noWrap/>
            <w:vAlign w:val="center"/>
            <w:hideMark/>
          </w:tcPr>
          <w:p w14:paraId="4FB578EB" w14:textId="77777777" w:rsidR="00847F65" w:rsidRPr="005E2B4C" w:rsidRDefault="00847F65" w:rsidP="00090E3A">
            <w:pPr>
              <w:jc w:val="center"/>
              <w:rPr>
                <w:color w:val="000000"/>
                <w:sz w:val="16"/>
                <w:szCs w:val="16"/>
              </w:rPr>
            </w:pPr>
            <w:r w:rsidRPr="005E2B4C">
              <w:rPr>
                <w:color w:val="000000"/>
                <w:sz w:val="16"/>
                <w:szCs w:val="16"/>
              </w:rPr>
              <w:t>(0.0134)</w:t>
            </w:r>
          </w:p>
        </w:tc>
        <w:tc>
          <w:tcPr>
            <w:tcW w:w="0" w:type="auto"/>
            <w:tcBorders>
              <w:top w:val="nil"/>
              <w:left w:val="single" w:sz="4" w:space="0" w:color="auto"/>
              <w:bottom w:val="nil"/>
              <w:right w:val="nil"/>
            </w:tcBorders>
            <w:shd w:val="clear" w:color="auto" w:fill="auto"/>
            <w:noWrap/>
            <w:vAlign w:val="center"/>
            <w:hideMark/>
          </w:tcPr>
          <w:p w14:paraId="7FECB2F2" w14:textId="77777777" w:rsidR="00847F65" w:rsidRPr="005E2B4C" w:rsidRDefault="00847F65" w:rsidP="00090E3A">
            <w:pPr>
              <w:jc w:val="center"/>
              <w:rPr>
                <w:color w:val="000000"/>
                <w:sz w:val="16"/>
                <w:szCs w:val="16"/>
              </w:rPr>
            </w:pPr>
            <w:r w:rsidRPr="005E2B4C">
              <w:rPr>
                <w:color w:val="000000"/>
                <w:sz w:val="16"/>
                <w:szCs w:val="16"/>
              </w:rPr>
              <w:t>(0.0145)</w:t>
            </w:r>
          </w:p>
        </w:tc>
        <w:tc>
          <w:tcPr>
            <w:tcW w:w="0" w:type="auto"/>
            <w:tcBorders>
              <w:top w:val="nil"/>
              <w:left w:val="nil"/>
              <w:bottom w:val="nil"/>
              <w:right w:val="nil"/>
            </w:tcBorders>
            <w:shd w:val="clear" w:color="auto" w:fill="auto"/>
            <w:noWrap/>
            <w:vAlign w:val="center"/>
            <w:hideMark/>
          </w:tcPr>
          <w:p w14:paraId="3699FD7A" w14:textId="77777777" w:rsidR="00847F65" w:rsidRPr="005E2B4C" w:rsidRDefault="00847F65" w:rsidP="00090E3A">
            <w:pPr>
              <w:jc w:val="center"/>
              <w:rPr>
                <w:color w:val="000000"/>
                <w:sz w:val="16"/>
                <w:szCs w:val="16"/>
              </w:rPr>
            </w:pPr>
            <w:r w:rsidRPr="005E2B4C">
              <w:rPr>
                <w:color w:val="000000"/>
                <w:sz w:val="16"/>
                <w:szCs w:val="16"/>
              </w:rPr>
              <w:t>(0.0130)</w:t>
            </w:r>
          </w:p>
        </w:tc>
        <w:tc>
          <w:tcPr>
            <w:tcW w:w="0" w:type="auto"/>
            <w:tcBorders>
              <w:top w:val="nil"/>
              <w:left w:val="nil"/>
              <w:bottom w:val="nil"/>
              <w:right w:val="nil"/>
            </w:tcBorders>
            <w:shd w:val="clear" w:color="auto" w:fill="auto"/>
            <w:noWrap/>
            <w:vAlign w:val="center"/>
            <w:hideMark/>
          </w:tcPr>
          <w:p w14:paraId="4C9E0C0F" w14:textId="77777777" w:rsidR="00847F65" w:rsidRPr="005E2B4C" w:rsidRDefault="00847F65" w:rsidP="00090E3A">
            <w:pPr>
              <w:jc w:val="center"/>
              <w:rPr>
                <w:color w:val="000000"/>
                <w:sz w:val="16"/>
                <w:szCs w:val="16"/>
              </w:rPr>
            </w:pPr>
            <w:r w:rsidRPr="005E2B4C">
              <w:rPr>
                <w:color w:val="000000"/>
                <w:sz w:val="16"/>
                <w:szCs w:val="16"/>
              </w:rPr>
              <w:t>(0.0158)</w:t>
            </w:r>
          </w:p>
        </w:tc>
        <w:tc>
          <w:tcPr>
            <w:tcW w:w="0" w:type="auto"/>
            <w:tcBorders>
              <w:top w:val="nil"/>
              <w:left w:val="nil"/>
              <w:bottom w:val="nil"/>
              <w:right w:val="nil"/>
            </w:tcBorders>
            <w:shd w:val="clear" w:color="auto" w:fill="auto"/>
            <w:noWrap/>
            <w:vAlign w:val="center"/>
            <w:hideMark/>
          </w:tcPr>
          <w:p w14:paraId="66417403" w14:textId="77777777" w:rsidR="00847F65" w:rsidRPr="005E2B4C" w:rsidRDefault="00847F65" w:rsidP="00090E3A">
            <w:pPr>
              <w:jc w:val="center"/>
              <w:rPr>
                <w:color w:val="000000"/>
                <w:sz w:val="16"/>
                <w:szCs w:val="16"/>
              </w:rPr>
            </w:pPr>
            <w:r w:rsidRPr="005E2B4C">
              <w:rPr>
                <w:color w:val="000000"/>
                <w:sz w:val="16"/>
                <w:szCs w:val="16"/>
              </w:rPr>
              <w:t>(0.0142)</w:t>
            </w:r>
          </w:p>
        </w:tc>
      </w:tr>
      <w:tr w:rsidR="006A00B7" w:rsidRPr="005E2B4C" w14:paraId="469AD26F" w14:textId="77777777" w:rsidTr="006A00B7">
        <w:trPr>
          <w:trHeight w:val="300"/>
        </w:trPr>
        <w:tc>
          <w:tcPr>
            <w:tcW w:w="0" w:type="auto"/>
            <w:tcBorders>
              <w:top w:val="nil"/>
              <w:left w:val="nil"/>
              <w:bottom w:val="nil"/>
              <w:right w:val="nil"/>
            </w:tcBorders>
            <w:shd w:val="clear" w:color="auto" w:fill="auto"/>
            <w:noWrap/>
            <w:vAlign w:val="center"/>
            <w:hideMark/>
          </w:tcPr>
          <w:p w14:paraId="145A3DD6" w14:textId="77777777" w:rsidR="00847F65" w:rsidRPr="005E2B4C" w:rsidRDefault="00847F65" w:rsidP="00090E3A">
            <w:pPr>
              <w:jc w:val="center"/>
              <w:rPr>
                <w:color w:val="000000"/>
                <w:sz w:val="16"/>
                <w:szCs w:val="16"/>
              </w:rPr>
            </w:pPr>
            <m:oMathPara>
              <m:oMathParaPr>
                <m:jc m:val="left"/>
              </m:oMathParaPr>
              <m:oMath>
                <m:r>
                  <w:rPr>
                    <w:rFonts w:ascii="Cambria Math" w:hAnsi="Cambria Math"/>
                    <w:color w:val="000000"/>
                    <w:sz w:val="16"/>
                    <w:szCs w:val="16"/>
                  </w:rPr>
                  <m:t xml:space="preserve">∆ </m:t>
                </m:r>
                <m:sSub>
                  <m:sSubPr>
                    <m:ctrlPr>
                      <w:rPr>
                        <w:rFonts w:ascii="Cambria Math" w:hAnsi="Cambria Math"/>
                        <w:i/>
                        <w:color w:val="000000"/>
                        <w:sz w:val="16"/>
                        <w:szCs w:val="16"/>
                      </w:rPr>
                    </m:ctrlPr>
                  </m:sSubPr>
                  <m:e>
                    <m:r>
                      <w:rPr>
                        <w:rFonts w:ascii="Cambria Math" w:hAnsi="Cambria Math"/>
                        <w:color w:val="000000"/>
                        <w:sz w:val="16"/>
                        <w:szCs w:val="16"/>
                      </w:rPr>
                      <m:t>GATT</m:t>
                    </m:r>
                  </m:e>
                  <m:sub>
                    <m:r>
                      <w:rPr>
                        <w:rFonts w:ascii="Cambria Math" w:hAnsi="Cambria Math"/>
                        <w:color w:val="000000"/>
                        <w:sz w:val="16"/>
                        <w:szCs w:val="16"/>
                      </w:rPr>
                      <m:t>ij,t-1</m:t>
                    </m:r>
                  </m:sub>
                </m:sSub>
              </m:oMath>
            </m:oMathPara>
          </w:p>
        </w:tc>
        <w:tc>
          <w:tcPr>
            <w:tcW w:w="0" w:type="auto"/>
            <w:tcBorders>
              <w:top w:val="nil"/>
              <w:left w:val="nil"/>
              <w:bottom w:val="nil"/>
              <w:right w:val="nil"/>
            </w:tcBorders>
            <w:shd w:val="clear" w:color="auto" w:fill="auto"/>
            <w:noWrap/>
            <w:vAlign w:val="center"/>
            <w:hideMark/>
          </w:tcPr>
          <w:p w14:paraId="65030299" w14:textId="77777777" w:rsidR="00847F65" w:rsidRPr="005E2B4C" w:rsidRDefault="00847F65" w:rsidP="00090E3A">
            <w:pPr>
              <w:jc w:val="center"/>
              <w:rPr>
                <w:color w:val="000000"/>
                <w:sz w:val="16"/>
                <w:szCs w:val="16"/>
              </w:rPr>
            </w:pPr>
            <w:r w:rsidRPr="005E2B4C">
              <w:rPr>
                <w:color w:val="000000"/>
                <w:sz w:val="16"/>
                <w:szCs w:val="16"/>
              </w:rPr>
              <w:t>0.133***</w:t>
            </w:r>
          </w:p>
        </w:tc>
        <w:tc>
          <w:tcPr>
            <w:tcW w:w="0" w:type="auto"/>
            <w:tcBorders>
              <w:top w:val="nil"/>
              <w:left w:val="nil"/>
              <w:bottom w:val="nil"/>
              <w:right w:val="nil"/>
            </w:tcBorders>
            <w:shd w:val="clear" w:color="auto" w:fill="auto"/>
            <w:noWrap/>
            <w:vAlign w:val="center"/>
            <w:hideMark/>
          </w:tcPr>
          <w:p w14:paraId="3F8788D7" w14:textId="77777777" w:rsidR="00847F65" w:rsidRPr="005E2B4C" w:rsidRDefault="00847F65" w:rsidP="00090E3A">
            <w:pPr>
              <w:jc w:val="center"/>
              <w:rPr>
                <w:color w:val="000000"/>
                <w:sz w:val="16"/>
                <w:szCs w:val="16"/>
              </w:rPr>
            </w:pPr>
            <w:r w:rsidRPr="005E2B4C">
              <w:rPr>
                <w:color w:val="000000"/>
                <w:sz w:val="16"/>
                <w:szCs w:val="16"/>
              </w:rPr>
              <w:t>0.135***</w:t>
            </w:r>
          </w:p>
        </w:tc>
        <w:tc>
          <w:tcPr>
            <w:tcW w:w="0" w:type="auto"/>
            <w:tcBorders>
              <w:top w:val="nil"/>
              <w:left w:val="nil"/>
              <w:bottom w:val="nil"/>
              <w:right w:val="nil"/>
            </w:tcBorders>
            <w:shd w:val="clear" w:color="auto" w:fill="auto"/>
            <w:noWrap/>
            <w:vAlign w:val="center"/>
            <w:hideMark/>
          </w:tcPr>
          <w:p w14:paraId="4D99711A" w14:textId="77777777" w:rsidR="00847F65" w:rsidRPr="005E2B4C" w:rsidRDefault="00847F65" w:rsidP="00090E3A">
            <w:pPr>
              <w:jc w:val="center"/>
              <w:rPr>
                <w:color w:val="000000"/>
                <w:sz w:val="16"/>
                <w:szCs w:val="16"/>
              </w:rPr>
            </w:pPr>
            <w:r w:rsidRPr="005E2B4C">
              <w:rPr>
                <w:color w:val="000000"/>
                <w:sz w:val="16"/>
                <w:szCs w:val="16"/>
              </w:rPr>
              <w:t>0.200***</w:t>
            </w:r>
          </w:p>
        </w:tc>
        <w:tc>
          <w:tcPr>
            <w:tcW w:w="0" w:type="auto"/>
            <w:tcBorders>
              <w:top w:val="nil"/>
              <w:left w:val="nil"/>
              <w:bottom w:val="nil"/>
              <w:right w:val="nil"/>
            </w:tcBorders>
            <w:shd w:val="clear" w:color="auto" w:fill="auto"/>
            <w:noWrap/>
            <w:vAlign w:val="center"/>
            <w:hideMark/>
          </w:tcPr>
          <w:p w14:paraId="1294D9D9" w14:textId="77777777" w:rsidR="00847F65" w:rsidRPr="005E2B4C" w:rsidRDefault="00847F65" w:rsidP="00090E3A">
            <w:pPr>
              <w:jc w:val="center"/>
              <w:rPr>
                <w:color w:val="000000"/>
                <w:sz w:val="16"/>
                <w:szCs w:val="16"/>
              </w:rPr>
            </w:pPr>
            <w:r w:rsidRPr="005E2B4C">
              <w:rPr>
                <w:color w:val="000000"/>
                <w:sz w:val="16"/>
                <w:szCs w:val="16"/>
              </w:rPr>
              <w:t>0.201***</w:t>
            </w:r>
          </w:p>
        </w:tc>
        <w:tc>
          <w:tcPr>
            <w:tcW w:w="0" w:type="auto"/>
            <w:tcBorders>
              <w:top w:val="nil"/>
              <w:left w:val="single" w:sz="4" w:space="0" w:color="auto"/>
              <w:bottom w:val="nil"/>
              <w:right w:val="nil"/>
            </w:tcBorders>
            <w:shd w:val="clear" w:color="auto" w:fill="auto"/>
            <w:noWrap/>
            <w:vAlign w:val="center"/>
            <w:hideMark/>
          </w:tcPr>
          <w:p w14:paraId="737626C8" w14:textId="77777777" w:rsidR="00847F65" w:rsidRPr="005E2B4C" w:rsidRDefault="00847F65" w:rsidP="00090E3A">
            <w:pPr>
              <w:jc w:val="center"/>
              <w:rPr>
                <w:color w:val="000000"/>
                <w:sz w:val="16"/>
                <w:szCs w:val="16"/>
              </w:rPr>
            </w:pPr>
            <w:r w:rsidRPr="005E2B4C">
              <w:rPr>
                <w:color w:val="000000"/>
                <w:sz w:val="16"/>
                <w:szCs w:val="16"/>
              </w:rPr>
              <w:t>0.112***</w:t>
            </w:r>
          </w:p>
        </w:tc>
        <w:tc>
          <w:tcPr>
            <w:tcW w:w="0" w:type="auto"/>
            <w:tcBorders>
              <w:top w:val="nil"/>
              <w:left w:val="nil"/>
              <w:bottom w:val="nil"/>
              <w:right w:val="nil"/>
            </w:tcBorders>
            <w:shd w:val="clear" w:color="auto" w:fill="auto"/>
            <w:noWrap/>
            <w:vAlign w:val="center"/>
            <w:hideMark/>
          </w:tcPr>
          <w:p w14:paraId="16BAB567" w14:textId="77777777" w:rsidR="00847F65" w:rsidRPr="005E2B4C" w:rsidRDefault="00847F65" w:rsidP="00090E3A">
            <w:pPr>
              <w:jc w:val="center"/>
              <w:rPr>
                <w:color w:val="000000"/>
                <w:sz w:val="16"/>
                <w:szCs w:val="16"/>
              </w:rPr>
            </w:pPr>
            <w:r w:rsidRPr="005E2B4C">
              <w:rPr>
                <w:color w:val="000000"/>
                <w:sz w:val="16"/>
                <w:szCs w:val="16"/>
              </w:rPr>
              <w:t>0.121***</w:t>
            </w:r>
          </w:p>
        </w:tc>
        <w:tc>
          <w:tcPr>
            <w:tcW w:w="0" w:type="auto"/>
            <w:tcBorders>
              <w:top w:val="nil"/>
              <w:left w:val="nil"/>
              <w:bottom w:val="nil"/>
              <w:right w:val="nil"/>
            </w:tcBorders>
            <w:shd w:val="clear" w:color="auto" w:fill="auto"/>
            <w:noWrap/>
            <w:vAlign w:val="center"/>
            <w:hideMark/>
          </w:tcPr>
          <w:p w14:paraId="13CDF5E1" w14:textId="77777777" w:rsidR="00847F65" w:rsidRPr="005E2B4C" w:rsidRDefault="00847F65" w:rsidP="00090E3A">
            <w:pPr>
              <w:jc w:val="center"/>
              <w:rPr>
                <w:color w:val="000000"/>
                <w:sz w:val="16"/>
                <w:szCs w:val="16"/>
              </w:rPr>
            </w:pPr>
            <w:r w:rsidRPr="005E2B4C">
              <w:rPr>
                <w:color w:val="000000"/>
                <w:sz w:val="16"/>
                <w:szCs w:val="16"/>
              </w:rPr>
              <w:t>0.183***</w:t>
            </w:r>
          </w:p>
        </w:tc>
        <w:tc>
          <w:tcPr>
            <w:tcW w:w="0" w:type="auto"/>
            <w:tcBorders>
              <w:top w:val="nil"/>
              <w:left w:val="nil"/>
              <w:bottom w:val="nil"/>
              <w:right w:val="nil"/>
            </w:tcBorders>
            <w:shd w:val="clear" w:color="auto" w:fill="auto"/>
            <w:noWrap/>
            <w:vAlign w:val="center"/>
            <w:hideMark/>
          </w:tcPr>
          <w:p w14:paraId="5F5E7AD3" w14:textId="77777777" w:rsidR="00847F65" w:rsidRPr="005E2B4C" w:rsidRDefault="00847F65" w:rsidP="00090E3A">
            <w:pPr>
              <w:jc w:val="center"/>
              <w:rPr>
                <w:color w:val="000000"/>
                <w:sz w:val="16"/>
                <w:szCs w:val="16"/>
              </w:rPr>
            </w:pPr>
            <w:r w:rsidRPr="005E2B4C">
              <w:rPr>
                <w:color w:val="000000"/>
                <w:sz w:val="16"/>
                <w:szCs w:val="16"/>
              </w:rPr>
              <w:t>0.190***</w:t>
            </w:r>
          </w:p>
        </w:tc>
      </w:tr>
      <w:tr w:rsidR="006A00B7" w:rsidRPr="005E2B4C" w14:paraId="307E1671" w14:textId="77777777" w:rsidTr="006A00B7">
        <w:trPr>
          <w:trHeight w:val="300"/>
        </w:trPr>
        <w:tc>
          <w:tcPr>
            <w:tcW w:w="0" w:type="auto"/>
            <w:tcBorders>
              <w:top w:val="nil"/>
              <w:left w:val="nil"/>
              <w:bottom w:val="nil"/>
              <w:right w:val="nil"/>
            </w:tcBorders>
            <w:shd w:val="clear" w:color="auto" w:fill="auto"/>
            <w:noWrap/>
            <w:vAlign w:val="center"/>
            <w:hideMark/>
          </w:tcPr>
          <w:p w14:paraId="3C87C7BD" w14:textId="77777777" w:rsidR="00847F65" w:rsidRPr="005E2B4C" w:rsidRDefault="00847F65" w:rsidP="00090E3A">
            <w:pPr>
              <w:jc w:val="center"/>
              <w:rPr>
                <w:color w:val="000000"/>
                <w:sz w:val="16"/>
                <w:szCs w:val="16"/>
              </w:rPr>
            </w:pPr>
          </w:p>
        </w:tc>
        <w:tc>
          <w:tcPr>
            <w:tcW w:w="0" w:type="auto"/>
            <w:tcBorders>
              <w:top w:val="nil"/>
              <w:left w:val="nil"/>
              <w:bottom w:val="nil"/>
              <w:right w:val="nil"/>
            </w:tcBorders>
            <w:shd w:val="clear" w:color="auto" w:fill="auto"/>
            <w:noWrap/>
            <w:vAlign w:val="center"/>
            <w:hideMark/>
          </w:tcPr>
          <w:p w14:paraId="40066837" w14:textId="77777777" w:rsidR="00847F65" w:rsidRPr="005E2B4C" w:rsidRDefault="00847F65" w:rsidP="00090E3A">
            <w:pPr>
              <w:jc w:val="center"/>
              <w:rPr>
                <w:color w:val="000000"/>
                <w:sz w:val="16"/>
                <w:szCs w:val="16"/>
              </w:rPr>
            </w:pPr>
            <w:r w:rsidRPr="005E2B4C">
              <w:rPr>
                <w:color w:val="000000"/>
                <w:sz w:val="16"/>
                <w:szCs w:val="16"/>
              </w:rPr>
              <w:t>(0.0125)</w:t>
            </w:r>
          </w:p>
        </w:tc>
        <w:tc>
          <w:tcPr>
            <w:tcW w:w="0" w:type="auto"/>
            <w:tcBorders>
              <w:top w:val="nil"/>
              <w:left w:val="nil"/>
              <w:bottom w:val="nil"/>
              <w:right w:val="nil"/>
            </w:tcBorders>
            <w:shd w:val="clear" w:color="auto" w:fill="auto"/>
            <w:noWrap/>
            <w:vAlign w:val="center"/>
            <w:hideMark/>
          </w:tcPr>
          <w:p w14:paraId="50D8D58E" w14:textId="77777777" w:rsidR="00847F65" w:rsidRPr="005E2B4C" w:rsidRDefault="00847F65" w:rsidP="00090E3A">
            <w:pPr>
              <w:jc w:val="center"/>
              <w:rPr>
                <w:color w:val="000000"/>
                <w:sz w:val="16"/>
                <w:szCs w:val="16"/>
              </w:rPr>
            </w:pPr>
            <w:r w:rsidRPr="005E2B4C">
              <w:rPr>
                <w:color w:val="000000"/>
                <w:sz w:val="16"/>
                <w:szCs w:val="16"/>
              </w:rPr>
              <w:t>(0.0113)</w:t>
            </w:r>
          </w:p>
        </w:tc>
        <w:tc>
          <w:tcPr>
            <w:tcW w:w="0" w:type="auto"/>
            <w:tcBorders>
              <w:top w:val="nil"/>
              <w:left w:val="nil"/>
              <w:bottom w:val="nil"/>
              <w:right w:val="nil"/>
            </w:tcBorders>
            <w:shd w:val="clear" w:color="auto" w:fill="auto"/>
            <w:noWrap/>
            <w:vAlign w:val="center"/>
            <w:hideMark/>
          </w:tcPr>
          <w:p w14:paraId="29857EAE" w14:textId="77777777" w:rsidR="00847F65" w:rsidRPr="005E2B4C" w:rsidRDefault="00847F65" w:rsidP="00090E3A">
            <w:pPr>
              <w:jc w:val="center"/>
              <w:rPr>
                <w:color w:val="000000"/>
                <w:sz w:val="16"/>
                <w:szCs w:val="16"/>
              </w:rPr>
            </w:pPr>
            <w:r w:rsidRPr="005E2B4C">
              <w:rPr>
                <w:color w:val="000000"/>
                <w:sz w:val="16"/>
                <w:szCs w:val="16"/>
              </w:rPr>
              <w:t>(0.0139)</w:t>
            </w:r>
          </w:p>
        </w:tc>
        <w:tc>
          <w:tcPr>
            <w:tcW w:w="0" w:type="auto"/>
            <w:tcBorders>
              <w:top w:val="nil"/>
              <w:left w:val="nil"/>
              <w:bottom w:val="nil"/>
              <w:right w:val="nil"/>
            </w:tcBorders>
            <w:shd w:val="clear" w:color="auto" w:fill="auto"/>
            <w:noWrap/>
            <w:vAlign w:val="center"/>
            <w:hideMark/>
          </w:tcPr>
          <w:p w14:paraId="0159A7BD" w14:textId="77777777" w:rsidR="00847F65" w:rsidRPr="005E2B4C" w:rsidRDefault="00847F65" w:rsidP="00090E3A">
            <w:pPr>
              <w:jc w:val="center"/>
              <w:rPr>
                <w:color w:val="000000"/>
                <w:sz w:val="16"/>
                <w:szCs w:val="16"/>
              </w:rPr>
            </w:pPr>
            <w:r w:rsidRPr="005E2B4C">
              <w:rPr>
                <w:color w:val="000000"/>
                <w:sz w:val="16"/>
                <w:szCs w:val="16"/>
              </w:rPr>
              <w:t>(0.0126)</w:t>
            </w:r>
          </w:p>
        </w:tc>
        <w:tc>
          <w:tcPr>
            <w:tcW w:w="0" w:type="auto"/>
            <w:tcBorders>
              <w:top w:val="nil"/>
              <w:left w:val="single" w:sz="4" w:space="0" w:color="auto"/>
              <w:bottom w:val="nil"/>
              <w:right w:val="nil"/>
            </w:tcBorders>
            <w:shd w:val="clear" w:color="auto" w:fill="auto"/>
            <w:noWrap/>
            <w:vAlign w:val="center"/>
            <w:hideMark/>
          </w:tcPr>
          <w:p w14:paraId="6784BEEC" w14:textId="77777777" w:rsidR="00847F65" w:rsidRPr="005E2B4C" w:rsidRDefault="00847F65" w:rsidP="00090E3A">
            <w:pPr>
              <w:jc w:val="center"/>
              <w:rPr>
                <w:color w:val="000000"/>
                <w:sz w:val="16"/>
                <w:szCs w:val="16"/>
              </w:rPr>
            </w:pPr>
            <w:r w:rsidRPr="005E2B4C">
              <w:rPr>
                <w:color w:val="000000"/>
                <w:sz w:val="16"/>
                <w:szCs w:val="16"/>
              </w:rPr>
              <w:t>(0.0133)</w:t>
            </w:r>
          </w:p>
        </w:tc>
        <w:tc>
          <w:tcPr>
            <w:tcW w:w="0" w:type="auto"/>
            <w:tcBorders>
              <w:top w:val="nil"/>
              <w:left w:val="nil"/>
              <w:bottom w:val="nil"/>
              <w:right w:val="nil"/>
            </w:tcBorders>
            <w:shd w:val="clear" w:color="auto" w:fill="auto"/>
            <w:noWrap/>
            <w:vAlign w:val="center"/>
            <w:hideMark/>
          </w:tcPr>
          <w:p w14:paraId="6A9D4597" w14:textId="77777777" w:rsidR="00847F65" w:rsidRPr="005E2B4C" w:rsidRDefault="00847F65" w:rsidP="00090E3A">
            <w:pPr>
              <w:jc w:val="center"/>
              <w:rPr>
                <w:color w:val="000000"/>
                <w:sz w:val="16"/>
                <w:szCs w:val="16"/>
              </w:rPr>
            </w:pPr>
            <w:r w:rsidRPr="005E2B4C">
              <w:rPr>
                <w:color w:val="000000"/>
                <w:sz w:val="16"/>
                <w:szCs w:val="16"/>
              </w:rPr>
              <w:t>(0.0119)</w:t>
            </w:r>
          </w:p>
        </w:tc>
        <w:tc>
          <w:tcPr>
            <w:tcW w:w="0" w:type="auto"/>
            <w:tcBorders>
              <w:top w:val="nil"/>
              <w:left w:val="nil"/>
              <w:bottom w:val="nil"/>
              <w:right w:val="nil"/>
            </w:tcBorders>
            <w:shd w:val="clear" w:color="auto" w:fill="auto"/>
            <w:noWrap/>
            <w:vAlign w:val="center"/>
            <w:hideMark/>
          </w:tcPr>
          <w:p w14:paraId="2E839FB4" w14:textId="77777777" w:rsidR="00847F65" w:rsidRPr="005E2B4C" w:rsidRDefault="00847F65" w:rsidP="00090E3A">
            <w:pPr>
              <w:jc w:val="center"/>
              <w:rPr>
                <w:color w:val="000000"/>
                <w:sz w:val="16"/>
                <w:szCs w:val="16"/>
              </w:rPr>
            </w:pPr>
            <w:r w:rsidRPr="005E2B4C">
              <w:rPr>
                <w:color w:val="000000"/>
                <w:sz w:val="16"/>
                <w:szCs w:val="16"/>
              </w:rPr>
              <w:t>(0.0148)</w:t>
            </w:r>
          </w:p>
        </w:tc>
        <w:tc>
          <w:tcPr>
            <w:tcW w:w="0" w:type="auto"/>
            <w:tcBorders>
              <w:top w:val="nil"/>
              <w:left w:val="nil"/>
              <w:bottom w:val="nil"/>
              <w:right w:val="nil"/>
            </w:tcBorders>
            <w:shd w:val="clear" w:color="auto" w:fill="auto"/>
            <w:noWrap/>
            <w:vAlign w:val="center"/>
            <w:hideMark/>
          </w:tcPr>
          <w:p w14:paraId="0A927ACF" w14:textId="77777777" w:rsidR="00847F65" w:rsidRPr="005E2B4C" w:rsidRDefault="00847F65" w:rsidP="00090E3A">
            <w:pPr>
              <w:jc w:val="center"/>
              <w:rPr>
                <w:color w:val="000000"/>
                <w:sz w:val="16"/>
                <w:szCs w:val="16"/>
              </w:rPr>
            </w:pPr>
            <w:r w:rsidRPr="005E2B4C">
              <w:rPr>
                <w:color w:val="000000"/>
                <w:sz w:val="16"/>
                <w:szCs w:val="16"/>
              </w:rPr>
              <w:t>(0.0133)</w:t>
            </w:r>
          </w:p>
        </w:tc>
      </w:tr>
      <w:tr w:rsidR="006A00B7" w:rsidRPr="005E2B4C" w14:paraId="01E192EA" w14:textId="77777777" w:rsidTr="006A00B7">
        <w:trPr>
          <w:trHeight w:val="300"/>
        </w:trPr>
        <w:tc>
          <w:tcPr>
            <w:tcW w:w="0" w:type="auto"/>
            <w:tcBorders>
              <w:top w:val="nil"/>
              <w:left w:val="nil"/>
              <w:bottom w:val="nil"/>
              <w:right w:val="nil"/>
            </w:tcBorders>
            <w:shd w:val="clear" w:color="auto" w:fill="auto"/>
            <w:noWrap/>
            <w:vAlign w:val="center"/>
            <w:hideMark/>
          </w:tcPr>
          <w:p w14:paraId="702FAC36" w14:textId="77777777" w:rsidR="00847F65" w:rsidRPr="005E2B4C" w:rsidRDefault="00847F65" w:rsidP="00090E3A">
            <w:pPr>
              <w:jc w:val="center"/>
              <w:rPr>
                <w:color w:val="000000"/>
                <w:sz w:val="16"/>
                <w:szCs w:val="16"/>
              </w:rPr>
            </w:pPr>
            <m:oMathPara>
              <m:oMathParaPr>
                <m:jc m:val="left"/>
              </m:oMathParaPr>
              <m:oMath>
                <m:r>
                  <w:rPr>
                    <w:rFonts w:ascii="Cambria Math" w:hAnsi="Cambria Math"/>
                    <w:color w:val="000000"/>
                    <w:sz w:val="16"/>
                    <w:szCs w:val="16"/>
                  </w:rPr>
                  <m:t xml:space="preserve">∆ </m:t>
                </m:r>
                <m:sSub>
                  <m:sSubPr>
                    <m:ctrlPr>
                      <w:rPr>
                        <w:rFonts w:ascii="Cambria Math" w:hAnsi="Cambria Math"/>
                        <w:i/>
                        <w:color w:val="000000"/>
                        <w:sz w:val="16"/>
                        <w:szCs w:val="16"/>
                      </w:rPr>
                    </m:ctrlPr>
                  </m:sSubPr>
                  <m:e>
                    <m:r>
                      <w:rPr>
                        <w:rFonts w:ascii="Cambria Math" w:hAnsi="Cambria Math"/>
                        <w:color w:val="000000"/>
                        <w:sz w:val="16"/>
                        <w:szCs w:val="16"/>
                      </w:rPr>
                      <m:t>GATT</m:t>
                    </m:r>
                  </m:e>
                  <m:sub>
                    <m:r>
                      <w:rPr>
                        <w:rFonts w:ascii="Cambria Math" w:hAnsi="Cambria Math"/>
                        <w:color w:val="000000"/>
                        <w:sz w:val="16"/>
                        <w:szCs w:val="16"/>
                      </w:rPr>
                      <m:t>ij,t-2</m:t>
                    </m:r>
                  </m:sub>
                </m:sSub>
              </m:oMath>
            </m:oMathPara>
          </w:p>
        </w:tc>
        <w:tc>
          <w:tcPr>
            <w:tcW w:w="0" w:type="auto"/>
            <w:tcBorders>
              <w:top w:val="nil"/>
              <w:left w:val="nil"/>
              <w:bottom w:val="nil"/>
              <w:right w:val="nil"/>
            </w:tcBorders>
            <w:shd w:val="clear" w:color="auto" w:fill="auto"/>
            <w:noWrap/>
            <w:vAlign w:val="center"/>
            <w:hideMark/>
          </w:tcPr>
          <w:p w14:paraId="6FEE988A" w14:textId="77777777" w:rsidR="00847F65" w:rsidRPr="005E2B4C" w:rsidRDefault="00847F65" w:rsidP="00090E3A">
            <w:pPr>
              <w:jc w:val="center"/>
              <w:rPr>
                <w:color w:val="000000"/>
                <w:sz w:val="16"/>
                <w:szCs w:val="16"/>
              </w:rPr>
            </w:pPr>
            <w:r w:rsidRPr="005E2B4C">
              <w:rPr>
                <w:color w:val="000000"/>
                <w:sz w:val="16"/>
                <w:szCs w:val="16"/>
              </w:rPr>
              <w:t>-0.029*</w:t>
            </w:r>
          </w:p>
        </w:tc>
        <w:tc>
          <w:tcPr>
            <w:tcW w:w="0" w:type="auto"/>
            <w:tcBorders>
              <w:top w:val="nil"/>
              <w:left w:val="nil"/>
              <w:bottom w:val="nil"/>
              <w:right w:val="nil"/>
            </w:tcBorders>
            <w:shd w:val="clear" w:color="auto" w:fill="auto"/>
            <w:noWrap/>
            <w:vAlign w:val="center"/>
            <w:hideMark/>
          </w:tcPr>
          <w:p w14:paraId="2F5EC8F7" w14:textId="77777777" w:rsidR="00847F65" w:rsidRPr="005E2B4C" w:rsidRDefault="00847F65" w:rsidP="00090E3A">
            <w:pPr>
              <w:jc w:val="center"/>
              <w:rPr>
                <w:color w:val="000000"/>
                <w:sz w:val="16"/>
                <w:szCs w:val="16"/>
              </w:rPr>
            </w:pPr>
            <w:r w:rsidRPr="005E2B4C">
              <w:rPr>
                <w:color w:val="000000"/>
                <w:sz w:val="16"/>
                <w:szCs w:val="16"/>
              </w:rPr>
              <w:t>-0.01</w:t>
            </w:r>
          </w:p>
        </w:tc>
        <w:tc>
          <w:tcPr>
            <w:tcW w:w="0" w:type="auto"/>
            <w:tcBorders>
              <w:top w:val="nil"/>
              <w:left w:val="nil"/>
              <w:bottom w:val="nil"/>
              <w:right w:val="nil"/>
            </w:tcBorders>
            <w:shd w:val="clear" w:color="auto" w:fill="auto"/>
            <w:noWrap/>
            <w:vAlign w:val="center"/>
            <w:hideMark/>
          </w:tcPr>
          <w:p w14:paraId="625075AF" w14:textId="77777777" w:rsidR="00847F65" w:rsidRPr="005E2B4C" w:rsidRDefault="00847F65" w:rsidP="00090E3A">
            <w:pPr>
              <w:jc w:val="center"/>
              <w:rPr>
                <w:color w:val="000000"/>
                <w:sz w:val="16"/>
                <w:szCs w:val="16"/>
              </w:rPr>
            </w:pPr>
            <w:r w:rsidRPr="005E2B4C">
              <w:rPr>
                <w:color w:val="000000"/>
                <w:sz w:val="16"/>
                <w:szCs w:val="16"/>
              </w:rPr>
              <w:t>-0.001</w:t>
            </w:r>
          </w:p>
        </w:tc>
        <w:tc>
          <w:tcPr>
            <w:tcW w:w="0" w:type="auto"/>
            <w:tcBorders>
              <w:top w:val="nil"/>
              <w:left w:val="nil"/>
              <w:bottom w:val="nil"/>
              <w:right w:val="nil"/>
            </w:tcBorders>
            <w:shd w:val="clear" w:color="auto" w:fill="auto"/>
            <w:noWrap/>
            <w:vAlign w:val="center"/>
            <w:hideMark/>
          </w:tcPr>
          <w:p w14:paraId="43BF9F21" w14:textId="77777777" w:rsidR="00847F65" w:rsidRPr="005E2B4C" w:rsidRDefault="00847F65" w:rsidP="00090E3A">
            <w:pPr>
              <w:jc w:val="center"/>
              <w:rPr>
                <w:color w:val="000000"/>
                <w:sz w:val="16"/>
                <w:szCs w:val="16"/>
              </w:rPr>
            </w:pPr>
            <w:r w:rsidRPr="005E2B4C">
              <w:rPr>
                <w:color w:val="000000"/>
                <w:sz w:val="16"/>
                <w:szCs w:val="16"/>
              </w:rPr>
              <w:t>0.0135</w:t>
            </w:r>
          </w:p>
        </w:tc>
        <w:tc>
          <w:tcPr>
            <w:tcW w:w="0" w:type="auto"/>
            <w:tcBorders>
              <w:top w:val="nil"/>
              <w:left w:val="single" w:sz="4" w:space="0" w:color="auto"/>
              <w:bottom w:val="nil"/>
              <w:right w:val="nil"/>
            </w:tcBorders>
            <w:shd w:val="clear" w:color="auto" w:fill="auto"/>
            <w:noWrap/>
            <w:vAlign w:val="center"/>
            <w:hideMark/>
          </w:tcPr>
          <w:p w14:paraId="294885B0" w14:textId="77777777" w:rsidR="00847F65" w:rsidRPr="005E2B4C" w:rsidRDefault="00847F65" w:rsidP="00090E3A">
            <w:pPr>
              <w:jc w:val="center"/>
              <w:rPr>
                <w:color w:val="000000"/>
                <w:sz w:val="16"/>
                <w:szCs w:val="16"/>
              </w:rPr>
            </w:pPr>
            <w:r w:rsidRPr="005E2B4C">
              <w:rPr>
                <w:color w:val="000000"/>
                <w:sz w:val="16"/>
                <w:szCs w:val="16"/>
              </w:rPr>
              <w:t>-0.018</w:t>
            </w:r>
          </w:p>
        </w:tc>
        <w:tc>
          <w:tcPr>
            <w:tcW w:w="0" w:type="auto"/>
            <w:tcBorders>
              <w:top w:val="nil"/>
              <w:left w:val="nil"/>
              <w:bottom w:val="nil"/>
              <w:right w:val="nil"/>
            </w:tcBorders>
            <w:shd w:val="clear" w:color="auto" w:fill="auto"/>
            <w:noWrap/>
            <w:vAlign w:val="center"/>
            <w:hideMark/>
          </w:tcPr>
          <w:p w14:paraId="5E3D7C77" w14:textId="77777777" w:rsidR="00847F65" w:rsidRPr="005E2B4C" w:rsidRDefault="00847F65" w:rsidP="00090E3A">
            <w:pPr>
              <w:jc w:val="center"/>
              <w:rPr>
                <w:color w:val="000000"/>
                <w:sz w:val="16"/>
                <w:szCs w:val="16"/>
              </w:rPr>
            </w:pPr>
            <w:r w:rsidRPr="005E2B4C">
              <w:rPr>
                <w:color w:val="000000"/>
                <w:sz w:val="16"/>
                <w:szCs w:val="16"/>
              </w:rPr>
              <w:t>0.00</w:t>
            </w:r>
          </w:p>
        </w:tc>
        <w:tc>
          <w:tcPr>
            <w:tcW w:w="0" w:type="auto"/>
            <w:tcBorders>
              <w:top w:val="nil"/>
              <w:left w:val="nil"/>
              <w:bottom w:val="nil"/>
              <w:right w:val="nil"/>
            </w:tcBorders>
            <w:shd w:val="clear" w:color="auto" w:fill="auto"/>
            <w:noWrap/>
            <w:vAlign w:val="center"/>
            <w:hideMark/>
          </w:tcPr>
          <w:p w14:paraId="77DCBEAA" w14:textId="77777777" w:rsidR="00847F65" w:rsidRPr="005E2B4C" w:rsidRDefault="00847F65" w:rsidP="00090E3A">
            <w:pPr>
              <w:jc w:val="center"/>
              <w:rPr>
                <w:color w:val="000000"/>
                <w:sz w:val="16"/>
                <w:szCs w:val="16"/>
              </w:rPr>
            </w:pPr>
            <w:r w:rsidRPr="005E2B4C">
              <w:rPr>
                <w:color w:val="000000"/>
                <w:sz w:val="16"/>
                <w:szCs w:val="16"/>
              </w:rPr>
              <w:t>0.009</w:t>
            </w:r>
          </w:p>
        </w:tc>
        <w:tc>
          <w:tcPr>
            <w:tcW w:w="0" w:type="auto"/>
            <w:tcBorders>
              <w:top w:val="nil"/>
              <w:left w:val="nil"/>
              <w:bottom w:val="nil"/>
              <w:right w:val="nil"/>
            </w:tcBorders>
            <w:shd w:val="clear" w:color="auto" w:fill="auto"/>
            <w:noWrap/>
            <w:vAlign w:val="center"/>
            <w:hideMark/>
          </w:tcPr>
          <w:p w14:paraId="6A8B6D00" w14:textId="77777777" w:rsidR="00847F65" w:rsidRPr="005E2B4C" w:rsidRDefault="00847F65" w:rsidP="00090E3A">
            <w:pPr>
              <w:jc w:val="center"/>
              <w:rPr>
                <w:color w:val="000000"/>
                <w:sz w:val="16"/>
                <w:szCs w:val="16"/>
              </w:rPr>
            </w:pPr>
            <w:r w:rsidRPr="005E2B4C">
              <w:rPr>
                <w:color w:val="000000"/>
                <w:sz w:val="16"/>
                <w:szCs w:val="16"/>
              </w:rPr>
              <w:t>0.024</w:t>
            </w:r>
          </w:p>
        </w:tc>
      </w:tr>
      <w:tr w:rsidR="006A00B7" w:rsidRPr="005E2B4C" w14:paraId="5588A4BA" w14:textId="77777777" w:rsidTr="006A00B7">
        <w:trPr>
          <w:trHeight w:val="300"/>
        </w:trPr>
        <w:tc>
          <w:tcPr>
            <w:tcW w:w="0" w:type="auto"/>
            <w:tcBorders>
              <w:top w:val="nil"/>
              <w:left w:val="nil"/>
              <w:bottom w:val="nil"/>
              <w:right w:val="nil"/>
            </w:tcBorders>
            <w:shd w:val="clear" w:color="auto" w:fill="auto"/>
            <w:noWrap/>
            <w:vAlign w:val="center"/>
            <w:hideMark/>
          </w:tcPr>
          <w:p w14:paraId="45CDBC6D" w14:textId="77777777" w:rsidR="00847F65" w:rsidRPr="005E2B4C" w:rsidRDefault="00847F65" w:rsidP="00090E3A">
            <w:pPr>
              <w:jc w:val="center"/>
              <w:rPr>
                <w:color w:val="000000"/>
                <w:sz w:val="16"/>
                <w:szCs w:val="16"/>
              </w:rPr>
            </w:pPr>
          </w:p>
        </w:tc>
        <w:tc>
          <w:tcPr>
            <w:tcW w:w="0" w:type="auto"/>
            <w:tcBorders>
              <w:top w:val="nil"/>
              <w:left w:val="nil"/>
              <w:bottom w:val="nil"/>
              <w:right w:val="nil"/>
            </w:tcBorders>
            <w:shd w:val="clear" w:color="auto" w:fill="auto"/>
            <w:noWrap/>
            <w:vAlign w:val="center"/>
            <w:hideMark/>
          </w:tcPr>
          <w:p w14:paraId="00C27BE5" w14:textId="77777777" w:rsidR="00847F65" w:rsidRPr="005E2B4C" w:rsidRDefault="00847F65" w:rsidP="00090E3A">
            <w:pPr>
              <w:jc w:val="center"/>
              <w:rPr>
                <w:color w:val="000000"/>
                <w:sz w:val="16"/>
                <w:szCs w:val="16"/>
              </w:rPr>
            </w:pPr>
            <w:r w:rsidRPr="005E2B4C">
              <w:rPr>
                <w:color w:val="000000"/>
                <w:sz w:val="16"/>
                <w:szCs w:val="16"/>
              </w:rPr>
              <w:t>(0.0132)</w:t>
            </w:r>
          </w:p>
        </w:tc>
        <w:tc>
          <w:tcPr>
            <w:tcW w:w="0" w:type="auto"/>
            <w:tcBorders>
              <w:top w:val="nil"/>
              <w:left w:val="nil"/>
              <w:bottom w:val="nil"/>
              <w:right w:val="nil"/>
            </w:tcBorders>
            <w:shd w:val="clear" w:color="auto" w:fill="auto"/>
            <w:noWrap/>
            <w:vAlign w:val="center"/>
            <w:hideMark/>
          </w:tcPr>
          <w:p w14:paraId="40179F96" w14:textId="77777777" w:rsidR="00847F65" w:rsidRPr="005E2B4C" w:rsidRDefault="00847F65" w:rsidP="00090E3A">
            <w:pPr>
              <w:jc w:val="center"/>
              <w:rPr>
                <w:color w:val="000000"/>
                <w:sz w:val="16"/>
                <w:szCs w:val="16"/>
              </w:rPr>
            </w:pPr>
            <w:r w:rsidRPr="005E2B4C">
              <w:rPr>
                <w:color w:val="000000"/>
                <w:sz w:val="16"/>
                <w:szCs w:val="16"/>
              </w:rPr>
              <w:t>(0.0119)</w:t>
            </w:r>
          </w:p>
        </w:tc>
        <w:tc>
          <w:tcPr>
            <w:tcW w:w="0" w:type="auto"/>
            <w:tcBorders>
              <w:top w:val="nil"/>
              <w:left w:val="nil"/>
              <w:bottom w:val="nil"/>
              <w:right w:val="nil"/>
            </w:tcBorders>
            <w:shd w:val="clear" w:color="auto" w:fill="auto"/>
            <w:noWrap/>
            <w:vAlign w:val="center"/>
            <w:hideMark/>
          </w:tcPr>
          <w:p w14:paraId="65521B74" w14:textId="77777777" w:rsidR="00847F65" w:rsidRPr="005E2B4C" w:rsidRDefault="00847F65" w:rsidP="00090E3A">
            <w:pPr>
              <w:jc w:val="center"/>
              <w:rPr>
                <w:color w:val="000000"/>
                <w:sz w:val="16"/>
                <w:szCs w:val="16"/>
              </w:rPr>
            </w:pPr>
            <w:r w:rsidRPr="005E2B4C">
              <w:rPr>
                <w:color w:val="000000"/>
                <w:sz w:val="16"/>
                <w:szCs w:val="16"/>
              </w:rPr>
              <w:t>(0.0151)</w:t>
            </w:r>
          </w:p>
        </w:tc>
        <w:tc>
          <w:tcPr>
            <w:tcW w:w="0" w:type="auto"/>
            <w:tcBorders>
              <w:top w:val="nil"/>
              <w:left w:val="nil"/>
              <w:bottom w:val="nil"/>
              <w:right w:val="nil"/>
            </w:tcBorders>
            <w:shd w:val="clear" w:color="auto" w:fill="auto"/>
            <w:noWrap/>
            <w:vAlign w:val="center"/>
            <w:hideMark/>
          </w:tcPr>
          <w:p w14:paraId="19F40DE8" w14:textId="77777777" w:rsidR="00847F65" w:rsidRPr="005E2B4C" w:rsidRDefault="00847F65" w:rsidP="00090E3A">
            <w:pPr>
              <w:jc w:val="center"/>
              <w:rPr>
                <w:color w:val="000000"/>
                <w:sz w:val="16"/>
                <w:szCs w:val="16"/>
              </w:rPr>
            </w:pPr>
            <w:r w:rsidRPr="005E2B4C">
              <w:rPr>
                <w:color w:val="000000"/>
                <w:sz w:val="16"/>
                <w:szCs w:val="16"/>
              </w:rPr>
              <w:t>(0.0136)</w:t>
            </w:r>
          </w:p>
        </w:tc>
        <w:tc>
          <w:tcPr>
            <w:tcW w:w="0" w:type="auto"/>
            <w:tcBorders>
              <w:top w:val="nil"/>
              <w:left w:val="single" w:sz="4" w:space="0" w:color="auto"/>
              <w:bottom w:val="nil"/>
              <w:right w:val="nil"/>
            </w:tcBorders>
            <w:shd w:val="clear" w:color="auto" w:fill="auto"/>
            <w:noWrap/>
            <w:vAlign w:val="center"/>
            <w:hideMark/>
          </w:tcPr>
          <w:p w14:paraId="42C62BD0" w14:textId="77777777" w:rsidR="00847F65" w:rsidRPr="005E2B4C" w:rsidRDefault="00847F65" w:rsidP="00090E3A">
            <w:pPr>
              <w:jc w:val="center"/>
              <w:rPr>
                <w:color w:val="000000"/>
                <w:sz w:val="16"/>
                <w:szCs w:val="16"/>
              </w:rPr>
            </w:pPr>
            <w:r w:rsidRPr="005E2B4C">
              <w:rPr>
                <w:color w:val="000000"/>
                <w:sz w:val="16"/>
                <w:szCs w:val="16"/>
              </w:rPr>
              <w:t>(0.0140)</w:t>
            </w:r>
          </w:p>
        </w:tc>
        <w:tc>
          <w:tcPr>
            <w:tcW w:w="0" w:type="auto"/>
            <w:tcBorders>
              <w:top w:val="nil"/>
              <w:left w:val="nil"/>
              <w:bottom w:val="nil"/>
              <w:right w:val="nil"/>
            </w:tcBorders>
            <w:shd w:val="clear" w:color="auto" w:fill="auto"/>
            <w:noWrap/>
            <w:vAlign w:val="center"/>
            <w:hideMark/>
          </w:tcPr>
          <w:p w14:paraId="478B9CAF" w14:textId="77777777" w:rsidR="00847F65" w:rsidRPr="005E2B4C" w:rsidRDefault="00847F65" w:rsidP="00090E3A">
            <w:pPr>
              <w:jc w:val="center"/>
              <w:rPr>
                <w:color w:val="000000"/>
                <w:sz w:val="16"/>
                <w:szCs w:val="16"/>
              </w:rPr>
            </w:pPr>
            <w:r w:rsidRPr="005E2B4C">
              <w:rPr>
                <w:color w:val="000000"/>
                <w:sz w:val="16"/>
                <w:szCs w:val="16"/>
              </w:rPr>
              <w:t>(0.0125)</w:t>
            </w:r>
          </w:p>
        </w:tc>
        <w:tc>
          <w:tcPr>
            <w:tcW w:w="0" w:type="auto"/>
            <w:tcBorders>
              <w:top w:val="nil"/>
              <w:left w:val="nil"/>
              <w:bottom w:val="nil"/>
              <w:right w:val="nil"/>
            </w:tcBorders>
            <w:shd w:val="clear" w:color="auto" w:fill="auto"/>
            <w:noWrap/>
            <w:vAlign w:val="center"/>
            <w:hideMark/>
          </w:tcPr>
          <w:p w14:paraId="5206C269" w14:textId="77777777" w:rsidR="00847F65" w:rsidRPr="005E2B4C" w:rsidRDefault="00847F65" w:rsidP="00090E3A">
            <w:pPr>
              <w:jc w:val="center"/>
              <w:rPr>
                <w:color w:val="000000"/>
                <w:sz w:val="16"/>
                <w:szCs w:val="16"/>
              </w:rPr>
            </w:pPr>
            <w:r w:rsidRPr="005E2B4C">
              <w:rPr>
                <w:color w:val="000000"/>
                <w:sz w:val="16"/>
                <w:szCs w:val="16"/>
              </w:rPr>
              <w:t>(0.0160)</w:t>
            </w:r>
          </w:p>
        </w:tc>
        <w:tc>
          <w:tcPr>
            <w:tcW w:w="0" w:type="auto"/>
            <w:tcBorders>
              <w:top w:val="nil"/>
              <w:left w:val="nil"/>
              <w:bottom w:val="nil"/>
              <w:right w:val="nil"/>
            </w:tcBorders>
            <w:shd w:val="clear" w:color="auto" w:fill="auto"/>
            <w:noWrap/>
            <w:vAlign w:val="center"/>
            <w:hideMark/>
          </w:tcPr>
          <w:p w14:paraId="685D1201" w14:textId="77777777" w:rsidR="00847F65" w:rsidRPr="005E2B4C" w:rsidRDefault="00847F65" w:rsidP="00090E3A">
            <w:pPr>
              <w:jc w:val="center"/>
              <w:rPr>
                <w:color w:val="000000"/>
                <w:sz w:val="16"/>
                <w:szCs w:val="16"/>
              </w:rPr>
            </w:pPr>
            <w:r w:rsidRPr="005E2B4C">
              <w:rPr>
                <w:color w:val="000000"/>
                <w:sz w:val="16"/>
                <w:szCs w:val="16"/>
              </w:rPr>
              <w:t>(0.0143)</w:t>
            </w:r>
          </w:p>
        </w:tc>
      </w:tr>
      <w:tr w:rsidR="006A00B7" w:rsidRPr="005E2B4C" w14:paraId="2FD96089" w14:textId="77777777" w:rsidTr="006A00B7">
        <w:trPr>
          <w:trHeight w:val="300"/>
        </w:trPr>
        <w:tc>
          <w:tcPr>
            <w:tcW w:w="0" w:type="auto"/>
            <w:tcBorders>
              <w:top w:val="nil"/>
              <w:left w:val="nil"/>
              <w:bottom w:val="nil"/>
              <w:right w:val="nil"/>
            </w:tcBorders>
            <w:shd w:val="clear" w:color="auto" w:fill="auto"/>
            <w:noWrap/>
            <w:vAlign w:val="center"/>
            <w:hideMark/>
          </w:tcPr>
          <w:p w14:paraId="762450C7" w14:textId="77777777" w:rsidR="00847F65" w:rsidRPr="005E2B4C" w:rsidRDefault="00847F65" w:rsidP="00090E3A">
            <w:pPr>
              <w:jc w:val="center"/>
              <w:rPr>
                <w:color w:val="000000"/>
                <w:sz w:val="16"/>
                <w:szCs w:val="16"/>
              </w:rPr>
            </w:pPr>
            <m:oMathPara>
              <m:oMathParaPr>
                <m:jc m:val="left"/>
              </m:oMathParaPr>
              <m:oMath>
                <m:r>
                  <w:rPr>
                    <w:rFonts w:ascii="Cambria Math" w:hAnsi="Cambria Math"/>
                    <w:color w:val="000000"/>
                    <w:sz w:val="16"/>
                    <w:szCs w:val="16"/>
                  </w:rPr>
                  <m:t xml:space="preserve">∆ </m:t>
                </m:r>
                <m:sSub>
                  <m:sSubPr>
                    <m:ctrlPr>
                      <w:rPr>
                        <w:rFonts w:ascii="Cambria Math" w:hAnsi="Cambria Math"/>
                        <w:i/>
                        <w:color w:val="000000"/>
                        <w:sz w:val="16"/>
                        <w:szCs w:val="16"/>
                      </w:rPr>
                    </m:ctrlPr>
                  </m:sSubPr>
                  <m:e>
                    <m:r>
                      <w:rPr>
                        <w:rFonts w:ascii="Cambria Math" w:hAnsi="Cambria Math"/>
                        <w:color w:val="000000"/>
                        <w:sz w:val="16"/>
                        <w:szCs w:val="16"/>
                      </w:rPr>
                      <m:t>GATT</m:t>
                    </m:r>
                  </m:e>
                  <m:sub>
                    <m:r>
                      <w:rPr>
                        <w:rFonts w:ascii="Cambria Math" w:hAnsi="Cambria Math"/>
                        <w:color w:val="000000"/>
                        <w:sz w:val="16"/>
                        <w:szCs w:val="16"/>
                      </w:rPr>
                      <m:t>ij,t-3</m:t>
                    </m:r>
                  </m:sub>
                </m:sSub>
              </m:oMath>
            </m:oMathPara>
          </w:p>
        </w:tc>
        <w:tc>
          <w:tcPr>
            <w:tcW w:w="0" w:type="auto"/>
            <w:tcBorders>
              <w:top w:val="nil"/>
              <w:left w:val="nil"/>
              <w:bottom w:val="nil"/>
              <w:right w:val="nil"/>
            </w:tcBorders>
            <w:shd w:val="clear" w:color="auto" w:fill="auto"/>
            <w:noWrap/>
            <w:vAlign w:val="center"/>
            <w:hideMark/>
          </w:tcPr>
          <w:p w14:paraId="6A3BE0FF" w14:textId="77777777" w:rsidR="00847F65" w:rsidRPr="005E2B4C" w:rsidRDefault="00847F65" w:rsidP="00090E3A">
            <w:pPr>
              <w:jc w:val="center"/>
              <w:rPr>
                <w:color w:val="000000"/>
                <w:sz w:val="16"/>
                <w:szCs w:val="16"/>
              </w:rPr>
            </w:pPr>
            <w:r w:rsidRPr="005E2B4C">
              <w:rPr>
                <w:color w:val="000000"/>
                <w:sz w:val="16"/>
                <w:szCs w:val="16"/>
              </w:rPr>
              <w:t>-0.077***</w:t>
            </w:r>
          </w:p>
        </w:tc>
        <w:tc>
          <w:tcPr>
            <w:tcW w:w="0" w:type="auto"/>
            <w:tcBorders>
              <w:top w:val="nil"/>
              <w:left w:val="nil"/>
              <w:bottom w:val="nil"/>
              <w:right w:val="nil"/>
            </w:tcBorders>
            <w:shd w:val="clear" w:color="auto" w:fill="auto"/>
            <w:noWrap/>
            <w:vAlign w:val="center"/>
            <w:hideMark/>
          </w:tcPr>
          <w:p w14:paraId="16337679" w14:textId="77777777" w:rsidR="00847F65" w:rsidRPr="005E2B4C" w:rsidRDefault="00847F65" w:rsidP="00090E3A">
            <w:pPr>
              <w:jc w:val="center"/>
              <w:rPr>
                <w:color w:val="000000"/>
                <w:sz w:val="16"/>
                <w:szCs w:val="16"/>
              </w:rPr>
            </w:pPr>
            <w:r w:rsidRPr="005E2B4C">
              <w:rPr>
                <w:color w:val="000000"/>
                <w:sz w:val="16"/>
                <w:szCs w:val="16"/>
              </w:rPr>
              <w:t>-0.067***</w:t>
            </w:r>
          </w:p>
        </w:tc>
        <w:tc>
          <w:tcPr>
            <w:tcW w:w="0" w:type="auto"/>
            <w:tcBorders>
              <w:top w:val="nil"/>
              <w:left w:val="nil"/>
              <w:bottom w:val="nil"/>
              <w:right w:val="nil"/>
            </w:tcBorders>
            <w:shd w:val="clear" w:color="auto" w:fill="auto"/>
            <w:noWrap/>
            <w:vAlign w:val="center"/>
            <w:hideMark/>
          </w:tcPr>
          <w:p w14:paraId="4F54BFA5" w14:textId="77777777" w:rsidR="00847F65" w:rsidRPr="005E2B4C" w:rsidRDefault="00847F65" w:rsidP="00090E3A">
            <w:pPr>
              <w:jc w:val="center"/>
              <w:rPr>
                <w:color w:val="000000"/>
                <w:sz w:val="16"/>
                <w:szCs w:val="16"/>
              </w:rPr>
            </w:pPr>
            <w:r w:rsidRPr="005E2B4C">
              <w:rPr>
                <w:color w:val="000000"/>
                <w:sz w:val="16"/>
                <w:szCs w:val="16"/>
              </w:rPr>
              <w:t>-0.096***</w:t>
            </w:r>
          </w:p>
        </w:tc>
        <w:tc>
          <w:tcPr>
            <w:tcW w:w="0" w:type="auto"/>
            <w:tcBorders>
              <w:top w:val="nil"/>
              <w:left w:val="nil"/>
              <w:bottom w:val="nil"/>
              <w:right w:val="nil"/>
            </w:tcBorders>
            <w:shd w:val="clear" w:color="auto" w:fill="auto"/>
            <w:noWrap/>
            <w:vAlign w:val="center"/>
            <w:hideMark/>
          </w:tcPr>
          <w:p w14:paraId="014905EC" w14:textId="77777777" w:rsidR="00847F65" w:rsidRPr="005E2B4C" w:rsidRDefault="00847F65" w:rsidP="00090E3A">
            <w:pPr>
              <w:jc w:val="center"/>
              <w:rPr>
                <w:color w:val="000000"/>
                <w:sz w:val="16"/>
                <w:szCs w:val="16"/>
              </w:rPr>
            </w:pPr>
            <w:r w:rsidRPr="005E2B4C">
              <w:rPr>
                <w:color w:val="000000"/>
                <w:sz w:val="16"/>
                <w:szCs w:val="16"/>
              </w:rPr>
              <w:t>-0.094***</w:t>
            </w:r>
          </w:p>
        </w:tc>
        <w:tc>
          <w:tcPr>
            <w:tcW w:w="0" w:type="auto"/>
            <w:tcBorders>
              <w:top w:val="nil"/>
              <w:left w:val="single" w:sz="4" w:space="0" w:color="auto"/>
              <w:bottom w:val="nil"/>
              <w:right w:val="nil"/>
            </w:tcBorders>
            <w:shd w:val="clear" w:color="auto" w:fill="auto"/>
            <w:noWrap/>
            <w:vAlign w:val="center"/>
            <w:hideMark/>
          </w:tcPr>
          <w:p w14:paraId="6974CE34" w14:textId="77777777" w:rsidR="00847F65" w:rsidRPr="005E2B4C" w:rsidRDefault="00847F65" w:rsidP="00090E3A">
            <w:pPr>
              <w:jc w:val="center"/>
              <w:rPr>
                <w:color w:val="000000"/>
                <w:sz w:val="16"/>
                <w:szCs w:val="16"/>
              </w:rPr>
            </w:pPr>
            <w:r w:rsidRPr="005E2B4C">
              <w:rPr>
                <w:color w:val="000000"/>
                <w:sz w:val="16"/>
                <w:szCs w:val="16"/>
              </w:rPr>
              <w:t>-0.067***</w:t>
            </w:r>
          </w:p>
        </w:tc>
        <w:tc>
          <w:tcPr>
            <w:tcW w:w="0" w:type="auto"/>
            <w:tcBorders>
              <w:top w:val="nil"/>
              <w:left w:val="nil"/>
              <w:bottom w:val="nil"/>
              <w:right w:val="nil"/>
            </w:tcBorders>
            <w:shd w:val="clear" w:color="auto" w:fill="auto"/>
            <w:noWrap/>
            <w:vAlign w:val="center"/>
            <w:hideMark/>
          </w:tcPr>
          <w:p w14:paraId="411785D2" w14:textId="77777777" w:rsidR="00847F65" w:rsidRPr="005E2B4C" w:rsidRDefault="00847F65" w:rsidP="00090E3A">
            <w:pPr>
              <w:jc w:val="center"/>
              <w:rPr>
                <w:color w:val="000000"/>
                <w:sz w:val="16"/>
                <w:szCs w:val="16"/>
              </w:rPr>
            </w:pPr>
            <w:r w:rsidRPr="005E2B4C">
              <w:rPr>
                <w:color w:val="000000"/>
                <w:sz w:val="16"/>
                <w:szCs w:val="16"/>
              </w:rPr>
              <w:t>-0.055***</w:t>
            </w:r>
          </w:p>
        </w:tc>
        <w:tc>
          <w:tcPr>
            <w:tcW w:w="0" w:type="auto"/>
            <w:tcBorders>
              <w:top w:val="nil"/>
              <w:left w:val="nil"/>
              <w:bottom w:val="nil"/>
              <w:right w:val="nil"/>
            </w:tcBorders>
            <w:shd w:val="clear" w:color="auto" w:fill="auto"/>
            <w:noWrap/>
            <w:vAlign w:val="center"/>
            <w:hideMark/>
          </w:tcPr>
          <w:p w14:paraId="3E75A1EE" w14:textId="77777777" w:rsidR="00847F65" w:rsidRPr="005E2B4C" w:rsidRDefault="00847F65" w:rsidP="00090E3A">
            <w:pPr>
              <w:jc w:val="center"/>
              <w:rPr>
                <w:color w:val="000000"/>
                <w:sz w:val="16"/>
                <w:szCs w:val="16"/>
              </w:rPr>
            </w:pPr>
            <w:r w:rsidRPr="005E2B4C">
              <w:rPr>
                <w:color w:val="000000"/>
                <w:sz w:val="16"/>
                <w:szCs w:val="16"/>
              </w:rPr>
              <w:t>-0.088***</w:t>
            </w:r>
          </w:p>
        </w:tc>
        <w:tc>
          <w:tcPr>
            <w:tcW w:w="0" w:type="auto"/>
            <w:tcBorders>
              <w:top w:val="nil"/>
              <w:left w:val="nil"/>
              <w:bottom w:val="nil"/>
              <w:right w:val="nil"/>
            </w:tcBorders>
            <w:shd w:val="clear" w:color="auto" w:fill="auto"/>
            <w:noWrap/>
            <w:vAlign w:val="center"/>
            <w:hideMark/>
          </w:tcPr>
          <w:p w14:paraId="41D1FCBB" w14:textId="77777777" w:rsidR="00847F65" w:rsidRPr="005E2B4C" w:rsidRDefault="00847F65" w:rsidP="00090E3A">
            <w:pPr>
              <w:jc w:val="center"/>
              <w:rPr>
                <w:color w:val="000000"/>
                <w:sz w:val="16"/>
                <w:szCs w:val="16"/>
              </w:rPr>
            </w:pPr>
            <w:r w:rsidRPr="005E2B4C">
              <w:rPr>
                <w:color w:val="000000"/>
                <w:sz w:val="16"/>
                <w:szCs w:val="16"/>
              </w:rPr>
              <w:t>-0.084***</w:t>
            </w:r>
          </w:p>
        </w:tc>
      </w:tr>
      <w:tr w:rsidR="006A00B7" w:rsidRPr="005E2B4C" w14:paraId="70E95A11" w14:textId="77777777" w:rsidTr="006A00B7">
        <w:trPr>
          <w:trHeight w:val="300"/>
        </w:trPr>
        <w:tc>
          <w:tcPr>
            <w:tcW w:w="0" w:type="auto"/>
            <w:tcBorders>
              <w:top w:val="nil"/>
              <w:left w:val="nil"/>
              <w:bottom w:val="nil"/>
              <w:right w:val="nil"/>
            </w:tcBorders>
            <w:shd w:val="clear" w:color="auto" w:fill="auto"/>
            <w:noWrap/>
            <w:vAlign w:val="center"/>
            <w:hideMark/>
          </w:tcPr>
          <w:p w14:paraId="41593000" w14:textId="77777777" w:rsidR="00847F65" w:rsidRPr="005E2B4C" w:rsidRDefault="00847F65" w:rsidP="00090E3A">
            <w:pPr>
              <w:jc w:val="center"/>
              <w:rPr>
                <w:color w:val="000000"/>
                <w:sz w:val="16"/>
                <w:szCs w:val="16"/>
              </w:rPr>
            </w:pPr>
          </w:p>
        </w:tc>
        <w:tc>
          <w:tcPr>
            <w:tcW w:w="0" w:type="auto"/>
            <w:tcBorders>
              <w:top w:val="nil"/>
              <w:left w:val="nil"/>
              <w:bottom w:val="nil"/>
              <w:right w:val="nil"/>
            </w:tcBorders>
            <w:shd w:val="clear" w:color="auto" w:fill="auto"/>
            <w:noWrap/>
            <w:vAlign w:val="center"/>
            <w:hideMark/>
          </w:tcPr>
          <w:p w14:paraId="15934DBD" w14:textId="77777777" w:rsidR="00847F65" w:rsidRPr="005E2B4C" w:rsidRDefault="00847F65" w:rsidP="00090E3A">
            <w:pPr>
              <w:jc w:val="center"/>
              <w:rPr>
                <w:color w:val="000000"/>
                <w:sz w:val="16"/>
                <w:szCs w:val="16"/>
              </w:rPr>
            </w:pPr>
            <w:r w:rsidRPr="005E2B4C">
              <w:rPr>
                <w:color w:val="000000"/>
                <w:sz w:val="16"/>
                <w:szCs w:val="16"/>
              </w:rPr>
              <w:t>(0.0134)</w:t>
            </w:r>
          </w:p>
        </w:tc>
        <w:tc>
          <w:tcPr>
            <w:tcW w:w="0" w:type="auto"/>
            <w:tcBorders>
              <w:top w:val="nil"/>
              <w:left w:val="nil"/>
              <w:bottom w:val="nil"/>
              <w:right w:val="nil"/>
            </w:tcBorders>
            <w:shd w:val="clear" w:color="auto" w:fill="auto"/>
            <w:noWrap/>
            <w:vAlign w:val="center"/>
            <w:hideMark/>
          </w:tcPr>
          <w:p w14:paraId="4F1A080D" w14:textId="77777777" w:rsidR="00847F65" w:rsidRPr="005E2B4C" w:rsidRDefault="00847F65" w:rsidP="00090E3A">
            <w:pPr>
              <w:jc w:val="center"/>
              <w:rPr>
                <w:color w:val="000000"/>
                <w:sz w:val="16"/>
                <w:szCs w:val="16"/>
              </w:rPr>
            </w:pPr>
            <w:r w:rsidRPr="005E2B4C">
              <w:rPr>
                <w:color w:val="000000"/>
                <w:sz w:val="16"/>
                <w:szCs w:val="16"/>
              </w:rPr>
              <w:t>(0.0121)</w:t>
            </w:r>
          </w:p>
        </w:tc>
        <w:tc>
          <w:tcPr>
            <w:tcW w:w="0" w:type="auto"/>
            <w:tcBorders>
              <w:top w:val="nil"/>
              <w:left w:val="nil"/>
              <w:bottom w:val="nil"/>
              <w:right w:val="nil"/>
            </w:tcBorders>
            <w:shd w:val="clear" w:color="auto" w:fill="auto"/>
            <w:noWrap/>
            <w:vAlign w:val="center"/>
            <w:hideMark/>
          </w:tcPr>
          <w:p w14:paraId="34B3C3FF" w14:textId="77777777" w:rsidR="00847F65" w:rsidRPr="005E2B4C" w:rsidRDefault="00847F65" w:rsidP="00090E3A">
            <w:pPr>
              <w:jc w:val="center"/>
              <w:rPr>
                <w:color w:val="000000"/>
                <w:sz w:val="16"/>
                <w:szCs w:val="16"/>
              </w:rPr>
            </w:pPr>
            <w:r w:rsidRPr="005E2B4C">
              <w:rPr>
                <w:color w:val="000000"/>
                <w:sz w:val="16"/>
                <w:szCs w:val="16"/>
              </w:rPr>
              <w:t>(0.0167)</w:t>
            </w:r>
          </w:p>
        </w:tc>
        <w:tc>
          <w:tcPr>
            <w:tcW w:w="0" w:type="auto"/>
            <w:tcBorders>
              <w:top w:val="nil"/>
              <w:left w:val="nil"/>
              <w:bottom w:val="nil"/>
              <w:right w:val="nil"/>
            </w:tcBorders>
            <w:shd w:val="clear" w:color="auto" w:fill="auto"/>
            <w:noWrap/>
            <w:vAlign w:val="center"/>
            <w:hideMark/>
          </w:tcPr>
          <w:p w14:paraId="6F72EF57" w14:textId="77777777" w:rsidR="00847F65" w:rsidRPr="005E2B4C" w:rsidRDefault="00847F65" w:rsidP="00090E3A">
            <w:pPr>
              <w:jc w:val="center"/>
              <w:rPr>
                <w:color w:val="000000"/>
                <w:sz w:val="16"/>
                <w:szCs w:val="16"/>
              </w:rPr>
            </w:pPr>
            <w:r w:rsidRPr="005E2B4C">
              <w:rPr>
                <w:color w:val="000000"/>
                <w:sz w:val="16"/>
                <w:szCs w:val="16"/>
              </w:rPr>
              <w:t>(0.0150)</w:t>
            </w:r>
          </w:p>
        </w:tc>
        <w:tc>
          <w:tcPr>
            <w:tcW w:w="0" w:type="auto"/>
            <w:tcBorders>
              <w:top w:val="nil"/>
              <w:left w:val="single" w:sz="4" w:space="0" w:color="auto"/>
              <w:bottom w:val="nil"/>
              <w:right w:val="nil"/>
            </w:tcBorders>
            <w:shd w:val="clear" w:color="auto" w:fill="auto"/>
            <w:noWrap/>
            <w:vAlign w:val="center"/>
            <w:hideMark/>
          </w:tcPr>
          <w:p w14:paraId="2754D76A" w14:textId="77777777" w:rsidR="00847F65" w:rsidRPr="005E2B4C" w:rsidRDefault="00847F65" w:rsidP="00090E3A">
            <w:pPr>
              <w:jc w:val="center"/>
              <w:rPr>
                <w:color w:val="000000"/>
                <w:sz w:val="16"/>
                <w:szCs w:val="16"/>
              </w:rPr>
            </w:pPr>
            <w:r w:rsidRPr="005E2B4C">
              <w:rPr>
                <w:color w:val="000000"/>
                <w:sz w:val="16"/>
                <w:szCs w:val="16"/>
              </w:rPr>
              <w:t>(0.0142)</w:t>
            </w:r>
          </w:p>
        </w:tc>
        <w:tc>
          <w:tcPr>
            <w:tcW w:w="0" w:type="auto"/>
            <w:tcBorders>
              <w:top w:val="nil"/>
              <w:left w:val="nil"/>
              <w:bottom w:val="nil"/>
              <w:right w:val="nil"/>
            </w:tcBorders>
            <w:shd w:val="clear" w:color="auto" w:fill="auto"/>
            <w:noWrap/>
            <w:vAlign w:val="center"/>
            <w:hideMark/>
          </w:tcPr>
          <w:p w14:paraId="7CD8CC41" w14:textId="77777777" w:rsidR="00847F65" w:rsidRPr="005E2B4C" w:rsidRDefault="00847F65" w:rsidP="00090E3A">
            <w:pPr>
              <w:jc w:val="center"/>
              <w:rPr>
                <w:color w:val="000000"/>
                <w:sz w:val="16"/>
                <w:szCs w:val="16"/>
              </w:rPr>
            </w:pPr>
            <w:r w:rsidRPr="005E2B4C">
              <w:rPr>
                <w:color w:val="000000"/>
                <w:sz w:val="16"/>
                <w:szCs w:val="16"/>
              </w:rPr>
              <w:t>(0.0127)</w:t>
            </w:r>
          </w:p>
        </w:tc>
        <w:tc>
          <w:tcPr>
            <w:tcW w:w="0" w:type="auto"/>
            <w:tcBorders>
              <w:top w:val="nil"/>
              <w:left w:val="nil"/>
              <w:bottom w:val="nil"/>
              <w:right w:val="nil"/>
            </w:tcBorders>
            <w:shd w:val="clear" w:color="auto" w:fill="auto"/>
            <w:noWrap/>
            <w:vAlign w:val="center"/>
            <w:hideMark/>
          </w:tcPr>
          <w:p w14:paraId="2420D625" w14:textId="77777777" w:rsidR="00847F65" w:rsidRPr="005E2B4C" w:rsidRDefault="00847F65" w:rsidP="00090E3A">
            <w:pPr>
              <w:jc w:val="center"/>
              <w:rPr>
                <w:color w:val="000000"/>
                <w:sz w:val="16"/>
                <w:szCs w:val="16"/>
              </w:rPr>
            </w:pPr>
            <w:r w:rsidRPr="005E2B4C">
              <w:rPr>
                <w:color w:val="000000"/>
                <w:sz w:val="16"/>
                <w:szCs w:val="16"/>
              </w:rPr>
              <w:t>(0.0176)</w:t>
            </w:r>
          </w:p>
        </w:tc>
        <w:tc>
          <w:tcPr>
            <w:tcW w:w="0" w:type="auto"/>
            <w:tcBorders>
              <w:top w:val="nil"/>
              <w:left w:val="nil"/>
              <w:bottom w:val="nil"/>
              <w:right w:val="nil"/>
            </w:tcBorders>
            <w:shd w:val="clear" w:color="auto" w:fill="auto"/>
            <w:noWrap/>
            <w:vAlign w:val="center"/>
            <w:hideMark/>
          </w:tcPr>
          <w:p w14:paraId="1AC41F16" w14:textId="77777777" w:rsidR="00847F65" w:rsidRPr="005E2B4C" w:rsidRDefault="00847F65" w:rsidP="00090E3A">
            <w:pPr>
              <w:jc w:val="center"/>
              <w:rPr>
                <w:color w:val="000000"/>
                <w:sz w:val="16"/>
                <w:szCs w:val="16"/>
              </w:rPr>
            </w:pPr>
            <w:r w:rsidRPr="005E2B4C">
              <w:rPr>
                <w:color w:val="000000"/>
                <w:sz w:val="16"/>
                <w:szCs w:val="16"/>
              </w:rPr>
              <w:t>(0.0158)</w:t>
            </w:r>
          </w:p>
        </w:tc>
      </w:tr>
      <w:tr w:rsidR="006A00B7" w:rsidRPr="005E2B4C" w14:paraId="2D7F30FE" w14:textId="77777777" w:rsidTr="006A00B7">
        <w:trPr>
          <w:trHeight w:val="300"/>
        </w:trPr>
        <w:tc>
          <w:tcPr>
            <w:tcW w:w="0" w:type="auto"/>
            <w:tcBorders>
              <w:top w:val="nil"/>
              <w:left w:val="nil"/>
              <w:bottom w:val="nil"/>
              <w:right w:val="nil"/>
            </w:tcBorders>
            <w:shd w:val="clear" w:color="auto" w:fill="auto"/>
            <w:noWrap/>
            <w:vAlign w:val="center"/>
            <w:hideMark/>
          </w:tcPr>
          <w:p w14:paraId="43313E87" w14:textId="77777777" w:rsidR="00847F65" w:rsidRPr="005E2B4C" w:rsidRDefault="00847F65" w:rsidP="00090E3A">
            <w:pPr>
              <w:jc w:val="center"/>
              <w:rPr>
                <w:color w:val="000000"/>
                <w:sz w:val="16"/>
                <w:szCs w:val="16"/>
              </w:rPr>
            </w:pPr>
            <m:oMathPara>
              <m:oMathParaPr>
                <m:jc m:val="left"/>
              </m:oMathParaPr>
              <m:oMath>
                <m:r>
                  <w:rPr>
                    <w:rFonts w:ascii="Cambria Math" w:hAnsi="Cambria Math"/>
                    <w:color w:val="000000"/>
                    <w:sz w:val="16"/>
                    <w:szCs w:val="16"/>
                  </w:rPr>
                  <m:t xml:space="preserve">∆ </m:t>
                </m:r>
                <m:sSub>
                  <m:sSubPr>
                    <m:ctrlPr>
                      <w:rPr>
                        <w:rFonts w:ascii="Cambria Math" w:hAnsi="Cambria Math"/>
                        <w:i/>
                        <w:color w:val="000000"/>
                        <w:sz w:val="16"/>
                        <w:szCs w:val="16"/>
                      </w:rPr>
                    </m:ctrlPr>
                  </m:sSubPr>
                  <m:e>
                    <m:r>
                      <w:rPr>
                        <w:rFonts w:ascii="Cambria Math" w:hAnsi="Cambria Math"/>
                        <w:color w:val="000000"/>
                        <w:sz w:val="16"/>
                        <w:szCs w:val="16"/>
                      </w:rPr>
                      <m:t>GATT</m:t>
                    </m:r>
                  </m:e>
                  <m:sub>
                    <m:r>
                      <w:rPr>
                        <w:rFonts w:ascii="Cambria Math" w:hAnsi="Cambria Math"/>
                        <w:color w:val="000000"/>
                        <w:sz w:val="16"/>
                        <w:szCs w:val="16"/>
                      </w:rPr>
                      <m:t>ij,t+1</m:t>
                    </m:r>
                  </m:sub>
                </m:sSub>
              </m:oMath>
            </m:oMathPara>
          </w:p>
        </w:tc>
        <w:tc>
          <w:tcPr>
            <w:tcW w:w="0" w:type="auto"/>
            <w:tcBorders>
              <w:top w:val="nil"/>
              <w:left w:val="nil"/>
              <w:bottom w:val="nil"/>
              <w:right w:val="nil"/>
            </w:tcBorders>
            <w:shd w:val="clear" w:color="auto" w:fill="auto"/>
            <w:noWrap/>
            <w:vAlign w:val="center"/>
            <w:hideMark/>
          </w:tcPr>
          <w:p w14:paraId="5338A0BA" w14:textId="77777777" w:rsidR="00847F65" w:rsidRPr="005E2B4C" w:rsidRDefault="00847F65" w:rsidP="00090E3A">
            <w:pPr>
              <w:jc w:val="center"/>
              <w:rPr>
                <w:color w:val="000000"/>
                <w:sz w:val="16"/>
                <w:szCs w:val="16"/>
              </w:rPr>
            </w:pPr>
            <w:r w:rsidRPr="005E2B4C">
              <w:rPr>
                <w:color w:val="000000"/>
                <w:sz w:val="16"/>
                <w:szCs w:val="16"/>
              </w:rPr>
              <w:t>0.045**</w:t>
            </w:r>
          </w:p>
        </w:tc>
        <w:tc>
          <w:tcPr>
            <w:tcW w:w="0" w:type="auto"/>
            <w:tcBorders>
              <w:top w:val="nil"/>
              <w:left w:val="nil"/>
              <w:bottom w:val="nil"/>
              <w:right w:val="nil"/>
            </w:tcBorders>
            <w:shd w:val="clear" w:color="auto" w:fill="auto"/>
            <w:noWrap/>
            <w:vAlign w:val="center"/>
            <w:hideMark/>
          </w:tcPr>
          <w:p w14:paraId="3E7AD7B0" w14:textId="77777777" w:rsidR="00847F65" w:rsidRPr="005E2B4C" w:rsidRDefault="00847F65" w:rsidP="00090E3A">
            <w:pPr>
              <w:jc w:val="center"/>
              <w:rPr>
                <w:color w:val="000000"/>
                <w:sz w:val="16"/>
                <w:szCs w:val="16"/>
              </w:rPr>
            </w:pPr>
            <w:r w:rsidRPr="005E2B4C">
              <w:rPr>
                <w:color w:val="000000"/>
                <w:sz w:val="16"/>
                <w:szCs w:val="16"/>
              </w:rPr>
              <w:t>0.052***</w:t>
            </w:r>
          </w:p>
        </w:tc>
        <w:tc>
          <w:tcPr>
            <w:tcW w:w="0" w:type="auto"/>
            <w:tcBorders>
              <w:top w:val="nil"/>
              <w:left w:val="nil"/>
              <w:bottom w:val="nil"/>
              <w:right w:val="nil"/>
            </w:tcBorders>
            <w:shd w:val="clear" w:color="auto" w:fill="auto"/>
            <w:noWrap/>
            <w:vAlign w:val="center"/>
            <w:hideMark/>
          </w:tcPr>
          <w:p w14:paraId="09B145CB" w14:textId="77777777" w:rsidR="00847F65" w:rsidRPr="005E2B4C" w:rsidRDefault="00847F65" w:rsidP="00090E3A">
            <w:pPr>
              <w:jc w:val="center"/>
              <w:rPr>
                <w:color w:val="000000"/>
                <w:sz w:val="16"/>
                <w:szCs w:val="16"/>
              </w:rPr>
            </w:pPr>
            <w:r w:rsidRPr="005E2B4C">
              <w:rPr>
                <w:color w:val="000000"/>
                <w:sz w:val="16"/>
                <w:szCs w:val="16"/>
              </w:rPr>
              <w:t>0.064***</w:t>
            </w:r>
          </w:p>
        </w:tc>
        <w:tc>
          <w:tcPr>
            <w:tcW w:w="0" w:type="auto"/>
            <w:tcBorders>
              <w:top w:val="nil"/>
              <w:left w:val="nil"/>
              <w:bottom w:val="nil"/>
              <w:right w:val="nil"/>
            </w:tcBorders>
            <w:shd w:val="clear" w:color="auto" w:fill="auto"/>
            <w:noWrap/>
            <w:vAlign w:val="center"/>
            <w:hideMark/>
          </w:tcPr>
          <w:p w14:paraId="70CF41D4" w14:textId="77777777" w:rsidR="00847F65" w:rsidRPr="005E2B4C" w:rsidRDefault="00847F65" w:rsidP="00090E3A">
            <w:pPr>
              <w:jc w:val="center"/>
              <w:rPr>
                <w:color w:val="000000"/>
                <w:sz w:val="16"/>
                <w:szCs w:val="16"/>
              </w:rPr>
            </w:pPr>
            <w:r w:rsidRPr="005E2B4C">
              <w:rPr>
                <w:color w:val="000000"/>
                <w:sz w:val="16"/>
                <w:szCs w:val="16"/>
              </w:rPr>
              <w:t>0.073***</w:t>
            </w:r>
          </w:p>
        </w:tc>
        <w:tc>
          <w:tcPr>
            <w:tcW w:w="0" w:type="auto"/>
            <w:tcBorders>
              <w:top w:val="nil"/>
              <w:left w:val="single" w:sz="4" w:space="0" w:color="auto"/>
              <w:bottom w:val="nil"/>
              <w:right w:val="nil"/>
            </w:tcBorders>
            <w:shd w:val="clear" w:color="auto" w:fill="auto"/>
            <w:noWrap/>
            <w:vAlign w:val="center"/>
            <w:hideMark/>
          </w:tcPr>
          <w:p w14:paraId="5A1D4DFC" w14:textId="77777777" w:rsidR="00847F65" w:rsidRPr="005E2B4C" w:rsidRDefault="00847F65" w:rsidP="00090E3A">
            <w:pPr>
              <w:jc w:val="center"/>
              <w:rPr>
                <w:color w:val="000000"/>
                <w:sz w:val="16"/>
                <w:szCs w:val="16"/>
              </w:rPr>
            </w:pPr>
            <w:r w:rsidRPr="005E2B4C">
              <w:rPr>
                <w:color w:val="000000"/>
                <w:sz w:val="16"/>
                <w:szCs w:val="16"/>
              </w:rPr>
              <w:t>0.054***</w:t>
            </w:r>
          </w:p>
        </w:tc>
        <w:tc>
          <w:tcPr>
            <w:tcW w:w="0" w:type="auto"/>
            <w:tcBorders>
              <w:top w:val="nil"/>
              <w:left w:val="nil"/>
              <w:bottom w:val="nil"/>
              <w:right w:val="nil"/>
            </w:tcBorders>
            <w:shd w:val="clear" w:color="auto" w:fill="auto"/>
            <w:noWrap/>
            <w:vAlign w:val="center"/>
            <w:hideMark/>
          </w:tcPr>
          <w:p w14:paraId="3145B302" w14:textId="77777777" w:rsidR="00847F65" w:rsidRPr="005E2B4C" w:rsidRDefault="00847F65" w:rsidP="00090E3A">
            <w:pPr>
              <w:jc w:val="center"/>
              <w:rPr>
                <w:color w:val="000000"/>
                <w:sz w:val="16"/>
                <w:szCs w:val="16"/>
              </w:rPr>
            </w:pPr>
            <w:r w:rsidRPr="005E2B4C">
              <w:rPr>
                <w:color w:val="000000"/>
                <w:sz w:val="16"/>
                <w:szCs w:val="16"/>
              </w:rPr>
              <w:t>0.064***</w:t>
            </w:r>
          </w:p>
        </w:tc>
        <w:tc>
          <w:tcPr>
            <w:tcW w:w="0" w:type="auto"/>
            <w:tcBorders>
              <w:top w:val="nil"/>
              <w:left w:val="nil"/>
              <w:bottom w:val="nil"/>
              <w:right w:val="nil"/>
            </w:tcBorders>
            <w:shd w:val="clear" w:color="auto" w:fill="auto"/>
            <w:noWrap/>
            <w:vAlign w:val="center"/>
            <w:hideMark/>
          </w:tcPr>
          <w:p w14:paraId="59F1343C" w14:textId="77777777" w:rsidR="00847F65" w:rsidRPr="005E2B4C" w:rsidRDefault="00847F65" w:rsidP="00090E3A">
            <w:pPr>
              <w:jc w:val="center"/>
              <w:rPr>
                <w:color w:val="000000"/>
                <w:sz w:val="16"/>
                <w:szCs w:val="16"/>
              </w:rPr>
            </w:pPr>
            <w:r w:rsidRPr="005E2B4C">
              <w:rPr>
                <w:color w:val="000000"/>
                <w:sz w:val="16"/>
                <w:szCs w:val="16"/>
              </w:rPr>
              <w:t>0.077***</w:t>
            </w:r>
          </w:p>
        </w:tc>
        <w:tc>
          <w:tcPr>
            <w:tcW w:w="0" w:type="auto"/>
            <w:tcBorders>
              <w:top w:val="nil"/>
              <w:left w:val="nil"/>
              <w:bottom w:val="nil"/>
              <w:right w:val="nil"/>
            </w:tcBorders>
            <w:shd w:val="clear" w:color="auto" w:fill="auto"/>
            <w:noWrap/>
            <w:vAlign w:val="center"/>
            <w:hideMark/>
          </w:tcPr>
          <w:p w14:paraId="156DB9D7" w14:textId="77777777" w:rsidR="00847F65" w:rsidRPr="005E2B4C" w:rsidRDefault="00847F65" w:rsidP="00090E3A">
            <w:pPr>
              <w:jc w:val="center"/>
              <w:rPr>
                <w:color w:val="000000"/>
                <w:sz w:val="16"/>
                <w:szCs w:val="16"/>
              </w:rPr>
            </w:pPr>
            <w:r w:rsidRPr="005E2B4C">
              <w:rPr>
                <w:color w:val="000000"/>
                <w:sz w:val="16"/>
                <w:szCs w:val="16"/>
              </w:rPr>
              <w:t>0.089***</w:t>
            </w:r>
          </w:p>
        </w:tc>
      </w:tr>
      <w:tr w:rsidR="006A00B7" w:rsidRPr="005E2B4C" w14:paraId="1E70AA31" w14:textId="77777777" w:rsidTr="006A00B7">
        <w:trPr>
          <w:trHeight w:val="300"/>
        </w:trPr>
        <w:tc>
          <w:tcPr>
            <w:tcW w:w="0" w:type="auto"/>
            <w:tcBorders>
              <w:top w:val="nil"/>
              <w:left w:val="nil"/>
              <w:bottom w:val="nil"/>
              <w:right w:val="nil"/>
            </w:tcBorders>
            <w:shd w:val="clear" w:color="auto" w:fill="auto"/>
            <w:noWrap/>
            <w:vAlign w:val="center"/>
            <w:hideMark/>
          </w:tcPr>
          <w:p w14:paraId="0387497B" w14:textId="77777777" w:rsidR="00847F65" w:rsidRPr="005E2B4C" w:rsidRDefault="00847F65" w:rsidP="00090E3A">
            <w:pPr>
              <w:jc w:val="center"/>
              <w:rPr>
                <w:color w:val="000000"/>
                <w:sz w:val="16"/>
                <w:szCs w:val="16"/>
              </w:rPr>
            </w:pPr>
          </w:p>
        </w:tc>
        <w:tc>
          <w:tcPr>
            <w:tcW w:w="0" w:type="auto"/>
            <w:tcBorders>
              <w:top w:val="nil"/>
              <w:left w:val="nil"/>
              <w:bottom w:val="nil"/>
              <w:right w:val="nil"/>
            </w:tcBorders>
            <w:shd w:val="clear" w:color="auto" w:fill="auto"/>
            <w:noWrap/>
            <w:vAlign w:val="center"/>
            <w:hideMark/>
          </w:tcPr>
          <w:p w14:paraId="781AB8EA" w14:textId="77777777" w:rsidR="00847F65" w:rsidRPr="005E2B4C" w:rsidRDefault="00847F65" w:rsidP="00090E3A">
            <w:pPr>
              <w:jc w:val="center"/>
              <w:rPr>
                <w:color w:val="000000"/>
                <w:sz w:val="16"/>
                <w:szCs w:val="16"/>
              </w:rPr>
            </w:pPr>
            <w:r w:rsidRPr="005E2B4C">
              <w:rPr>
                <w:color w:val="000000"/>
                <w:sz w:val="16"/>
                <w:szCs w:val="16"/>
              </w:rPr>
              <w:t>(0.0141)</w:t>
            </w:r>
          </w:p>
        </w:tc>
        <w:tc>
          <w:tcPr>
            <w:tcW w:w="0" w:type="auto"/>
            <w:tcBorders>
              <w:top w:val="nil"/>
              <w:left w:val="nil"/>
              <w:bottom w:val="nil"/>
              <w:right w:val="nil"/>
            </w:tcBorders>
            <w:shd w:val="clear" w:color="auto" w:fill="auto"/>
            <w:noWrap/>
            <w:vAlign w:val="center"/>
            <w:hideMark/>
          </w:tcPr>
          <w:p w14:paraId="3434E2EB" w14:textId="77777777" w:rsidR="00847F65" w:rsidRPr="005E2B4C" w:rsidRDefault="00847F65" w:rsidP="00090E3A">
            <w:pPr>
              <w:jc w:val="center"/>
              <w:rPr>
                <w:color w:val="000000"/>
                <w:sz w:val="16"/>
                <w:szCs w:val="16"/>
              </w:rPr>
            </w:pPr>
            <w:r w:rsidRPr="005E2B4C">
              <w:rPr>
                <w:color w:val="000000"/>
                <w:sz w:val="16"/>
                <w:szCs w:val="16"/>
              </w:rPr>
              <w:t>(0.0127)</w:t>
            </w:r>
          </w:p>
        </w:tc>
        <w:tc>
          <w:tcPr>
            <w:tcW w:w="0" w:type="auto"/>
            <w:tcBorders>
              <w:top w:val="nil"/>
              <w:left w:val="nil"/>
              <w:bottom w:val="nil"/>
              <w:right w:val="nil"/>
            </w:tcBorders>
            <w:shd w:val="clear" w:color="auto" w:fill="auto"/>
            <w:noWrap/>
            <w:vAlign w:val="center"/>
            <w:hideMark/>
          </w:tcPr>
          <w:p w14:paraId="6BF2193A" w14:textId="77777777" w:rsidR="00847F65" w:rsidRPr="005E2B4C" w:rsidRDefault="00847F65" w:rsidP="00090E3A">
            <w:pPr>
              <w:jc w:val="center"/>
              <w:rPr>
                <w:color w:val="000000"/>
                <w:sz w:val="16"/>
                <w:szCs w:val="16"/>
              </w:rPr>
            </w:pPr>
            <w:r w:rsidRPr="005E2B4C">
              <w:rPr>
                <w:color w:val="000000"/>
                <w:sz w:val="16"/>
                <w:szCs w:val="16"/>
              </w:rPr>
              <w:t>(0.0148)</w:t>
            </w:r>
          </w:p>
        </w:tc>
        <w:tc>
          <w:tcPr>
            <w:tcW w:w="0" w:type="auto"/>
            <w:tcBorders>
              <w:top w:val="nil"/>
              <w:left w:val="nil"/>
              <w:bottom w:val="nil"/>
              <w:right w:val="nil"/>
            </w:tcBorders>
            <w:shd w:val="clear" w:color="auto" w:fill="auto"/>
            <w:noWrap/>
            <w:vAlign w:val="center"/>
            <w:hideMark/>
          </w:tcPr>
          <w:p w14:paraId="41BEA754" w14:textId="77777777" w:rsidR="00847F65" w:rsidRPr="005E2B4C" w:rsidRDefault="00847F65" w:rsidP="00090E3A">
            <w:pPr>
              <w:jc w:val="center"/>
              <w:rPr>
                <w:color w:val="000000"/>
                <w:sz w:val="16"/>
                <w:szCs w:val="16"/>
              </w:rPr>
            </w:pPr>
            <w:r w:rsidRPr="005E2B4C">
              <w:rPr>
                <w:color w:val="000000"/>
                <w:sz w:val="16"/>
                <w:szCs w:val="16"/>
              </w:rPr>
              <w:t>(0.0134)</w:t>
            </w:r>
          </w:p>
        </w:tc>
        <w:tc>
          <w:tcPr>
            <w:tcW w:w="0" w:type="auto"/>
            <w:tcBorders>
              <w:top w:val="nil"/>
              <w:left w:val="single" w:sz="4" w:space="0" w:color="auto"/>
              <w:bottom w:val="nil"/>
              <w:right w:val="nil"/>
            </w:tcBorders>
            <w:shd w:val="clear" w:color="auto" w:fill="auto"/>
            <w:noWrap/>
            <w:vAlign w:val="center"/>
            <w:hideMark/>
          </w:tcPr>
          <w:p w14:paraId="4A2612AA" w14:textId="77777777" w:rsidR="00847F65" w:rsidRPr="005E2B4C" w:rsidRDefault="00847F65" w:rsidP="00090E3A">
            <w:pPr>
              <w:jc w:val="center"/>
              <w:rPr>
                <w:color w:val="000000"/>
                <w:sz w:val="16"/>
                <w:szCs w:val="16"/>
              </w:rPr>
            </w:pPr>
            <w:r w:rsidRPr="005E2B4C">
              <w:rPr>
                <w:color w:val="000000"/>
                <w:sz w:val="16"/>
                <w:szCs w:val="16"/>
              </w:rPr>
              <w:t>(0.0149)</w:t>
            </w:r>
          </w:p>
        </w:tc>
        <w:tc>
          <w:tcPr>
            <w:tcW w:w="0" w:type="auto"/>
            <w:tcBorders>
              <w:top w:val="nil"/>
              <w:left w:val="nil"/>
              <w:bottom w:val="nil"/>
              <w:right w:val="nil"/>
            </w:tcBorders>
            <w:shd w:val="clear" w:color="auto" w:fill="auto"/>
            <w:noWrap/>
            <w:vAlign w:val="center"/>
            <w:hideMark/>
          </w:tcPr>
          <w:p w14:paraId="31A6D2BC" w14:textId="77777777" w:rsidR="00847F65" w:rsidRPr="005E2B4C" w:rsidRDefault="00847F65" w:rsidP="00090E3A">
            <w:pPr>
              <w:jc w:val="center"/>
              <w:rPr>
                <w:color w:val="000000"/>
                <w:sz w:val="16"/>
                <w:szCs w:val="16"/>
              </w:rPr>
            </w:pPr>
            <w:r w:rsidRPr="005E2B4C">
              <w:rPr>
                <w:color w:val="000000"/>
                <w:sz w:val="16"/>
                <w:szCs w:val="16"/>
              </w:rPr>
              <w:t>(0.0134)</w:t>
            </w:r>
          </w:p>
        </w:tc>
        <w:tc>
          <w:tcPr>
            <w:tcW w:w="0" w:type="auto"/>
            <w:tcBorders>
              <w:top w:val="nil"/>
              <w:left w:val="nil"/>
              <w:bottom w:val="nil"/>
              <w:right w:val="nil"/>
            </w:tcBorders>
            <w:shd w:val="clear" w:color="auto" w:fill="auto"/>
            <w:noWrap/>
            <w:vAlign w:val="center"/>
            <w:hideMark/>
          </w:tcPr>
          <w:p w14:paraId="67EF3B01" w14:textId="77777777" w:rsidR="00847F65" w:rsidRPr="005E2B4C" w:rsidRDefault="00847F65" w:rsidP="00090E3A">
            <w:pPr>
              <w:jc w:val="center"/>
              <w:rPr>
                <w:color w:val="000000"/>
                <w:sz w:val="16"/>
                <w:szCs w:val="16"/>
              </w:rPr>
            </w:pPr>
            <w:r w:rsidRPr="005E2B4C">
              <w:rPr>
                <w:color w:val="000000"/>
                <w:sz w:val="16"/>
                <w:szCs w:val="16"/>
              </w:rPr>
              <w:t>(0.0157)</w:t>
            </w:r>
          </w:p>
        </w:tc>
        <w:tc>
          <w:tcPr>
            <w:tcW w:w="0" w:type="auto"/>
            <w:tcBorders>
              <w:top w:val="nil"/>
              <w:left w:val="nil"/>
              <w:bottom w:val="nil"/>
              <w:right w:val="nil"/>
            </w:tcBorders>
            <w:shd w:val="clear" w:color="auto" w:fill="auto"/>
            <w:noWrap/>
            <w:vAlign w:val="center"/>
            <w:hideMark/>
          </w:tcPr>
          <w:p w14:paraId="5FB784DB" w14:textId="77777777" w:rsidR="00847F65" w:rsidRPr="005E2B4C" w:rsidRDefault="00847F65" w:rsidP="00090E3A">
            <w:pPr>
              <w:jc w:val="center"/>
              <w:rPr>
                <w:color w:val="000000"/>
                <w:sz w:val="16"/>
                <w:szCs w:val="16"/>
              </w:rPr>
            </w:pPr>
            <w:r w:rsidRPr="005E2B4C">
              <w:rPr>
                <w:color w:val="000000"/>
                <w:sz w:val="16"/>
                <w:szCs w:val="16"/>
              </w:rPr>
              <w:t>(0.0141)</w:t>
            </w:r>
          </w:p>
        </w:tc>
      </w:tr>
      <w:tr w:rsidR="00090E3A" w:rsidRPr="005E2B4C" w14:paraId="12413B5B" w14:textId="77777777" w:rsidTr="006A00B7">
        <w:trPr>
          <w:trHeight w:val="300"/>
        </w:trPr>
        <w:tc>
          <w:tcPr>
            <w:tcW w:w="0" w:type="auto"/>
            <w:tcBorders>
              <w:top w:val="nil"/>
              <w:left w:val="nil"/>
              <w:bottom w:val="nil"/>
              <w:right w:val="nil"/>
            </w:tcBorders>
            <w:shd w:val="clear" w:color="auto" w:fill="auto"/>
            <w:noWrap/>
            <w:vAlign w:val="center"/>
          </w:tcPr>
          <w:p w14:paraId="633DCB1A" w14:textId="77777777" w:rsidR="00090E3A" w:rsidRPr="005E2B4C" w:rsidRDefault="00090E3A" w:rsidP="00090E3A">
            <w:pPr>
              <w:jc w:val="center"/>
              <w:rPr>
                <w:color w:val="000000"/>
                <w:sz w:val="16"/>
                <w:szCs w:val="16"/>
              </w:rPr>
            </w:pPr>
          </w:p>
        </w:tc>
        <w:tc>
          <w:tcPr>
            <w:tcW w:w="0" w:type="auto"/>
            <w:tcBorders>
              <w:top w:val="nil"/>
              <w:left w:val="nil"/>
              <w:bottom w:val="nil"/>
              <w:right w:val="nil"/>
            </w:tcBorders>
            <w:shd w:val="clear" w:color="auto" w:fill="auto"/>
            <w:noWrap/>
            <w:vAlign w:val="center"/>
          </w:tcPr>
          <w:p w14:paraId="54A59237" w14:textId="77777777" w:rsidR="00090E3A" w:rsidRPr="005E2B4C" w:rsidRDefault="00090E3A" w:rsidP="00090E3A">
            <w:pPr>
              <w:jc w:val="center"/>
              <w:rPr>
                <w:color w:val="000000"/>
                <w:sz w:val="16"/>
                <w:szCs w:val="16"/>
              </w:rPr>
            </w:pPr>
          </w:p>
        </w:tc>
        <w:tc>
          <w:tcPr>
            <w:tcW w:w="0" w:type="auto"/>
            <w:tcBorders>
              <w:top w:val="nil"/>
              <w:left w:val="nil"/>
              <w:bottom w:val="nil"/>
              <w:right w:val="nil"/>
            </w:tcBorders>
            <w:shd w:val="clear" w:color="auto" w:fill="auto"/>
            <w:noWrap/>
            <w:vAlign w:val="center"/>
          </w:tcPr>
          <w:p w14:paraId="6EE725CA" w14:textId="77777777" w:rsidR="00090E3A" w:rsidRPr="005E2B4C" w:rsidRDefault="00090E3A" w:rsidP="00090E3A">
            <w:pPr>
              <w:jc w:val="center"/>
              <w:rPr>
                <w:color w:val="000000"/>
                <w:sz w:val="16"/>
                <w:szCs w:val="16"/>
              </w:rPr>
            </w:pPr>
          </w:p>
        </w:tc>
        <w:tc>
          <w:tcPr>
            <w:tcW w:w="0" w:type="auto"/>
            <w:tcBorders>
              <w:top w:val="nil"/>
              <w:left w:val="nil"/>
              <w:bottom w:val="nil"/>
              <w:right w:val="nil"/>
            </w:tcBorders>
            <w:shd w:val="clear" w:color="auto" w:fill="auto"/>
            <w:noWrap/>
            <w:vAlign w:val="center"/>
          </w:tcPr>
          <w:p w14:paraId="34A1A01C" w14:textId="77777777" w:rsidR="00090E3A" w:rsidRPr="005E2B4C" w:rsidRDefault="00090E3A" w:rsidP="00090E3A">
            <w:pPr>
              <w:jc w:val="center"/>
              <w:rPr>
                <w:color w:val="000000"/>
                <w:sz w:val="16"/>
                <w:szCs w:val="16"/>
              </w:rPr>
            </w:pPr>
          </w:p>
        </w:tc>
        <w:tc>
          <w:tcPr>
            <w:tcW w:w="0" w:type="auto"/>
            <w:tcBorders>
              <w:top w:val="nil"/>
              <w:left w:val="nil"/>
              <w:bottom w:val="nil"/>
              <w:right w:val="nil"/>
            </w:tcBorders>
            <w:shd w:val="clear" w:color="auto" w:fill="auto"/>
            <w:noWrap/>
            <w:vAlign w:val="center"/>
          </w:tcPr>
          <w:p w14:paraId="3788110A" w14:textId="77777777" w:rsidR="00090E3A" w:rsidRPr="005E2B4C" w:rsidRDefault="00090E3A" w:rsidP="00090E3A">
            <w:pPr>
              <w:jc w:val="center"/>
              <w:rPr>
                <w:color w:val="000000"/>
                <w:sz w:val="16"/>
                <w:szCs w:val="16"/>
              </w:rPr>
            </w:pPr>
          </w:p>
        </w:tc>
        <w:tc>
          <w:tcPr>
            <w:tcW w:w="0" w:type="auto"/>
            <w:tcBorders>
              <w:top w:val="nil"/>
              <w:left w:val="single" w:sz="4" w:space="0" w:color="auto"/>
              <w:bottom w:val="nil"/>
              <w:right w:val="nil"/>
            </w:tcBorders>
            <w:shd w:val="clear" w:color="auto" w:fill="auto"/>
            <w:noWrap/>
            <w:vAlign w:val="center"/>
          </w:tcPr>
          <w:p w14:paraId="7A026F51" w14:textId="77777777" w:rsidR="00090E3A" w:rsidRPr="005E2B4C" w:rsidRDefault="00090E3A" w:rsidP="00090E3A">
            <w:pPr>
              <w:jc w:val="center"/>
              <w:rPr>
                <w:color w:val="000000"/>
                <w:sz w:val="16"/>
                <w:szCs w:val="16"/>
              </w:rPr>
            </w:pPr>
          </w:p>
        </w:tc>
        <w:tc>
          <w:tcPr>
            <w:tcW w:w="0" w:type="auto"/>
            <w:tcBorders>
              <w:top w:val="nil"/>
              <w:left w:val="nil"/>
              <w:bottom w:val="nil"/>
              <w:right w:val="nil"/>
            </w:tcBorders>
            <w:shd w:val="clear" w:color="auto" w:fill="auto"/>
            <w:noWrap/>
            <w:vAlign w:val="center"/>
          </w:tcPr>
          <w:p w14:paraId="4A756997" w14:textId="77777777" w:rsidR="00090E3A" w:rsidRPr="005E2B4C" w:rsidRDefault="00090E3A" w:rsidP="00090E3A">
            <w:pPr>
              <w:jc w:val="center"/>
              <w:rPr>
                <w:color w:val="000000"/>
                <w:sz w:val="16"/>
                <w:szCs w:val="16"/>
              </w:rPr>
            </w:pPr>
          </w:p>
        </w:tc>
        <w:tc>
          <w:tcPr>
            <w:tcW w:w="0" w:type="auto"/>
            <w:tcBorders>
              <w:top w:val="nil"/>
              <w:left w:val="nil"/>
              <w:bottom w:val="nil"/>
              <w:right w:val="nil"/>
            </w:tcBorders>
            <w:shd w:val="clear" w:color="auto" w:fill="auto"/>
            <w:noWrap/>
            <w:vAlign w:val="center"/>
          </w:tcPr>
          <w:p w14:paraId="1560A6BE" w14:textId="77777777" w:rsidR="00090E3A" w:rsidRPr="005E2B4C" w:rsidRDefault="00090E3A" w:rsidP="00090E3A">
            <w:pPr>
              <w:jc w:val="center"/>
              <w:rPr>
                <w:color w:val="000000"/>
                <w:sz w:val="16"/>
                <w:szCs w:val="16"/>
              </w:rPr>
            </w:pPr>
          </w:p>
        </w:tc>
        <w:tc>
          <w:tcPr>
            <w:tcW w:w="0" w:type="auto"/>
            <w:tcBorders>
              <w:top w:val="nil"/>
              <w:left w:val="nil"/>
              <w:bottom w:val="nil"/>
              <w:right w:val="nil"/>
            </w:tcBorders>
            <w:shd w:val="clear" w:color="auto" w:fill="auto"/>
            <w:noWrap/>
            <w:vAlign w:val="center"/>
          </w:tcPr>
          <w:p w14:paraId="37E9752E" w14:textId="77777777" w:rsidR="00090E3A" w:rsidRPr="005E2B4C" w:rsidRDefault="00090E3A" w:rsidP="00090E3A">
            <w:pPr>
              <w:jc w:val="center"/>
              <w:rPr>
                <w:color w:val="000000"/>
                <w:sz w:val="16"/>
                <w:szCs w:val="16"/>
              </w:rPr>
            </w:pPr>
          </w:p>
        </w:tc>
      </w:tr>
      <w:tr w:rsidR="006A00B7" w:rsidRPr="005E2B4C" w14:paraId="758EB102" w14:textId="77777777" w:rsidTr="005E2B4C">
        <w:trPr>
          <w:trHeight w:val="300"/>
        </w:trPr>
        <w:tc>
          <w:tcPr>
            <w:tcW w:w="0" w:type="auto"/>
            <w:tcBorders>
              <w:top w:val="nil"/>
              <w:left w:val="nil"/>
              <w:bottom w:val="nil"/>
              <w:right w:val="nil"/>
            </w:tcBorders>
            <w:shd w:val="clear" w:color="auto" w:fill="auto"/>
            <w:noWrap/>
            <w:vAlign w:val="center"/>
            <w:hideMark/>
          </w:tcPr>
          <w:p w14:paraId="6B8EDD22" w14:textId="77777777" w:rsidR="00847F65" w:rsidRPr="005E2B4C" w:rsidRDefault="00847F65" w:rsidP="005E2B4C">
            <w:pPr>
              <w:rPr>
                <w:i/>
                <w:color w:val="000000"/>
                <w:sz w:val="16"/>
                <w:szCs w:val="16"/>
              </w:rPr>
            </w:pPr>
            <w:r w:rsidRPr="005E2B4C">
              <w:rPr>
                <w:i/>
                <w:color w:val="000000"/>
                <w:sz w:val="16"/>
                <w:szCs w:val="16"/>
              </w:rPr>
              <w:t>Obs</w:t>
            </w:r>
          </w:p>
        </w:tc>
        <w:tc>
          <w:tcPr>
            <w:tcW w:w="0" w:type="auto"/>
            <w:tcBorders>
              <w:top w:val="nil"/>
              <w:left w:val="nil"/>
              <w:bottom w:val="nil"/>
              <w:right w:val="nil"/>
            </w:tcBorders>
            <w:shd w:val="clear" w:color="auto" w:fill="auto"/>
            <w:noWrap/>
            <w:vAlign w:val="center"/>
            <w:hideMark/>
          </w:tcPr>
          <w:p w14:paraId="62C661B4" w14:textId="77777777" w:rsidR="00847F65" w:rsidRPr="005E2B4C" w:rsidRDefault="00847F65" w:rsidP="005E2B4C">
            <w:pPr>
              <w:jc w:val="center"/>
              <w:rPr>
                <w:i/>
                <w:color w:val="000000"/>
                <w:sz w:val="16"/>
                <w:szCs w:val="16"/>
              </w:rPr>
            </w:pPr>
            <w:r w:rsidRPr="005E2B4C">
              <w:rPr>
                <w:i/>
                <w:color w:val="000000"/>
                <w:sz w:val="16"/>
                <w:szCs w:val="16"/>
              </w:rPr>
              <w:t>930056</w:t>
            </w:r>
          </w:p>
        </w:tc>
        <w:tc>
          <w:tcPr>
            <w:tcW w:w="0" w:type="auto"/>
            <w:tcBorders>
              <w:top w:val="nil"/>
              <w:left w:val="nil"/>
              <w:bottom w:val="nil"/>
              <w:right w:val="nil"/>
            </w:tcBorders>
            <w:shd w:val="clear" w:color="auto" w:fill="auto"/>
            <w:noWrap/>
            <w:vAlign w:val="center"/>
            <w:hideMark/>
          </w:tcPr>
          <w:p w14:paraId="6F9F1612" w14:textId="77777777" w:rsidR="00847F65" w:rsidRPr="005E2B4C" w:rsidRDefault="00847F65" w:rsidP="005E2B4C">
            <w:pPr>
              <w:jc w:val="center"/>
              <w:rPr>
                <w:i/>
                <w:color w:val="000000"/>
                <w:sz w:val="16"/>
                <w:szCs w:val="16"/>
              </w:rPr>
            </w:pPr>
            <w:r w:rsidRPr="005E2B4C">
              <w:rPr>
                <w:i/>
                <w:color w:val="000000"/>
                <w:sz w:val="16"/>
                <w:szCs w:val="16"/>
              </w:rPr>
              <w:t>1188748</w:t>
            </w:r>
          </w:p>
        </w:tc>
        <w:tc>
          <w:tcPr>
            <w:tcW w:w="0" w:type="auto"/>
            <w:tcBorders>
              <w:top w:val="nil"/>
              <w:left w:val="nil"/>
              <w:bottom w:val="nil"/>
              <w:right w:val="nil"/>
            </w:tcBorders>
            <w:shd w:val="clear" w:color="auto" w:fill="auto"/>
            <w:noWrap/>
            <w:vAlign w:val="center"/>
            <w:hideMark/>
          </w:tcPr>
          <w:p w14:paraId="451EAF05" w14:textId="77777777" w:rsidR="00847F65" w:rsidRPr="005E2B4C" w:rsidRDefault="00847F65" w:rsidP="005E2B4C">
            <w:pPr>
              <w:jc w:val="center"/>
              <w:rPr>
                <w:i/>
                <w:color w:val="000000"/>
                <w:sz w:val="16"/>
                <w:szCs w:val="16"/>
              </w:rPr>
            </w:pPr>
            <w:r w:rsidRPr="005E2B4C">
              <w:rPr>
                <w:i/>
                <w:color w:val="000000"/>
                <w:sz w:val="16"/>
                <w:szCs w:val="16"/>
              </w:rPr>
              <w:t>786285</w:t>
            </w:r>
          </w:p>
        </w:tc>
        <w:tc>
          <w:tcPr>
            <w:tcW w:w="0" w:type="auto"/>
            <w:tcBorders>
              <w:top w:val="nil"/>
              <w:left w:val="nil"/>
              <w:bottom w:val="nil"/>
              <w:right w:val="nil"/>
            </w:tcBorders>
            <w:shd w:val="clear" w:color="auto" w:fill="auto"/>
            <w:noWrap/>
            <w:vAlign w:val="center"/>
            <w:hideMark/>
          </w:tcPr>
          <w:p w14:paraId="452D1DAB" w14:textId="77777777" w:rsidR="00847F65" w:rsidRPr="005E2B4C" w:rsidRDefault="00847F65" w:rsidP="005E2B4C">
            <w:pPr>
              <w:jc w:val="center"/>
              <w:rPr>
                <w:i/>
                <w:color w:val="000000"/>
                <w:sz w:val="16"/>
                <w:szCs w:val="16"/>
              </w:rPr>
            </w:pPr>
            <w:r w:rsidRPr="005E2B4C">
              <w:rPr>
                <w:i/>
                <w:color w:val="000000"/>
                <w:sz w:val="16"/>
                <w:szCs w:val="16"/>
              </w:rPr>
              <w:t>999205</w:t>
            </w:r>
          </w:p>
        </w:tc>
        <w:tc>
          <w:tcPr>
            <w:tcW w:w="0" w:type="auto"/>
            <w:tcBorders>
              <w:top w:val="nil"/>
              <w:left w:val="single" w:sz="4" w:space="0" w:color="auto"/>
              <w:bottom w:val="nil"/>
              <w:right w:val="nil"/>
            </w:tcBorders>
            <w:shd w:val="clear" w:color="auto" w:fill="auto"/>
            <w:noWrap/>
            <w:vAlign w:val="center"/>
            <w:hideMark/>
          </w:tcPr>
          <w:p w14:paraId="6ED81491" w14:textId="77777777" w:rsidR="00847F65" w:rsidRPr="005E2B4C" w:rsidRDefault="00847F65" w:rsidP="005E2B4C">
            <w:pPr>
              <w:jc w:val="center"/>
              <w:rPr>
                <w:i/>
                <w:color w:val="000000"/>
                <w:sz w:val="16"/>
                <w:szCs w:val="16"/>
              </w:rPr>
            </w:pPr>
            <w:r w:rsidRPr="005E2B4C">
              <w:rPr>
                <w:i/>
                <w:color w:val="000000"/>
                <w:sz w:val="16"/>
                <w:szCs w:val="16"/>
              </w:rPr>
              <w:t>804758</w:t>
            </w:r>
          </w:p>
        </w:tc>
        <w:tc>
          <w:tcPr>
            <w:tcW w:w="0" w:type="auto"/>
            <w:tcBorders>
              <w:top w:val="nil"/>
              <w:left w:val="nil"/>
              <w:bottom w:val="nil"/>
              <w:right w:val="nil"/>
            </w:tcBorders>
            <w:shd w:val="clear" w:color="auto" w:fill="auto"/>
            <w:noWrap/>
            <w:vAlign w:val="center"/>
            <w:hideMark/>
          </w:tcPr>
          <w:p w14:paraId="7299EAA5" w14:textId="77777777" w:rsidR="00847F65" w:rsidRPr="005E2B4C" w:rsidRDefault="00847F65" w:rsidP="005E2B4C">
            <w:pPr>
              <w:jc w:val="center"/>
              <w:rPr>
                <w:i/>
                <w:color w:val="000000"/>
                <w:sz w:val="16"/>
                <w:szCs w:val="16"/>
              </w:rPr>
            </w:pPr>
            <w:r w:rsidRPr="005E2B4C">
              <w:rPr>
                <w:i/>
                <w:color w:val="000000"/>
                <w:sz w:val="16"/>
                <w:szCs w:val="16"/>
              </w:rPr>
              <w:t>1044374</w:t>
            </w:r>
          </w:p>
        </w:tc>
        <w:tc>
          <w:tcPr>
            <w:tcW w:w="0" w:type="auto"/>
            <w:tcBorders>
              <w:top w:val="nil"/>
              <w:left w:val="nil"/>
              <w:bottom w:val="nil"/>
              <w:right w:val="nil"/>
            </w:tcBorders>
            <w:shd w:val="clear" w:color="auto" w:fill="auto"/>
            <w:noWrap/>
            <w:vAlign w:val="center"/>
            <w:hideMark/>
          </w:tcPr>
          <w:p w14:paraId="15CBB268" w14:textId="77777777" w:rsidR="00847F65" w:rsidRPr="005E2B4C" w:rsidRDefault="00847F65" w:rsidP="005E2B4C">
            <w:pPr>
              <w:jc w:val="center"/>
              <w:rPr>
                <w:i/>
                <w:color w:val="000000"/>
                <w:sz w:val="16"/>
                <w:szCs w:val="16"/>
              </w:rPr>
            </w:pPr>
            <w:r w:rsidRPr="005E2B4C">
              <w:rPr>
                <w:i/>
                <w:color w:val="000000"/>
                <w:sz w:val="16"/>
                <w:szCs w:val="16"/>
              </w:rPr>
              <w:t>672028</w:t>
            </w:r>
          </w:p>
        </w:tc>
        <w:tc>
          <w:tcPr>
            <w:tcW w:w="0" w:type="auto"/>
            <w:tcBorders>
              <w:top w:val="nil"/>
              <w:left w:val="nil"/>
              <w:bottom w:val="nil"/>
              <w:right w:val="nil"/>
            </w:tcBorders>
            <w:shd w:val="clear" w:color="auto" w:fill="auto"/>
            <w:noWrap/>
            <w:vAlign w:val="center"/>
            <w:hideMark/>
          </w:tcPr>
          <w:p w14:paraId="4287FA00" w14:textId="77777777" w:rsidR="00847F65" w:rsidRPr="005E2B4C" w:rsidRDefault="00847F65" w:rsidP="005E2B4C">
            <w:pPr>
              <w:jc w:val="center"/>
              <w:rPr>
                <w:i/>
                <w:color w:val="000000"/>
                <w:sz w:val="16"/>
                <w:szCs w:val="16"/>
              </w:rPr>
            </w:pPr>
            <w:r w:rsidRPr="005E2B4C">
              <w:rPr>
                <w:i/>
                <w:color w:val="000000"/>
                <w:sz w:val="16"/>
                <w:szCs w:val="16"/>
              </w:rPr>
              <w:t>867932</w:t>
            </w:r>
          </w:p>
        </w:tc>
      </w:tr>
      <w:tr w:rsidR="006A00B7" w:rsidRPr="005E2B4C" w14:paraId="2E306B2B" w14:textId="77777777" w:rsidTr="005E2B4C">
        <w:trPr>
          <w:trHeight w:val="300"/>
        </w:trPr>
        <w:tc>
          <w:tcPr>
            <w:tcW w:w="0" w:type="auto"/>
            <w:tcBorders>
              <w:top w:val="nil"/>
              <w:left w:val="nil"/>
              <w:bottom w:val="nil"/>
              <w:right w:val="nil"/>
            </w:tcBorders>
            <w:shd w:val="clear" w:color="auto" w:fill="auto"/>
            <w:noWrap/>
            <w:vAlign w:val="center"/>
            <w:hideMark/>
          </w:tcPr>
          <w:p w14:paraId="7E297FDA" w14:textId="77777777" w:rsidR="00847F65" w:rsidRPr="005E2B4C" w:rsidRDefault="00847F65" w:rsidP="005E2B4C">
            <w:pPr>
              <w:rPr>
                <w:i/>
                <w:color w:val="000000"/>
                <w:sz w:val="16"/>
                <w:szCs w:val="16"/>
              </w:rPr>
            </w:pPr>
            <w:r w:rsidRPr="005E2B4C">
              <w:rPr>
                <w:i/>
                <w:color w:val="000000"/>
                <w:sz w:val="16"/>
                <w:szCs w:val="16"/>
              </w:rPr>
              <w:t>Countries</w:t>
            </w:r>
          </w:p>
        </w:tc>
        <w:tc>
          <w:tcPr>
            <w:tcW w:w="0" w:type="auto"/>
            <w:tcBorders>
              <w:top w:val="nil"/>
              <w:left w:val="nil"/>
              <w:bottom w:val="nil"/>
              <w:right w:val="nil"/>
            </w:tcBorders>
            <w:shd w:val="clear" w:color="auto" w:fill="auto"/>
            <w:noWrap/>
            <w:vAlign w:val="center"/>
            <w:hideMark/>
          </w:tcPr>
          <w:p w14:paraId="191ABE37" w14:textId="77777777" w:rsidR="00847F65" w:rsidRPr="005E2B4C" w:rsidRDefault="00847F65" w:rsidP="005E2B4C">
            <w:pPr>
              <w:jc w:val="center"/>
              <w:rPr>
                <w:i/>
                <w:color w:val="000000"/>
                <w:sz w:val="16"/>
                <w:szCs w:val="16"/>
              </w:rPr>
            </w:pPr>
            <w:r w:rsidRPr="005E2B4C">
              <w:rPr>
                <w:i/>
                <w:color w:val="000000"/>
                <w:sz w:val="16"/>
                <w:szCs w:val="16"/>
              </w:rPr>
              <w:t>157</w:t>
            </w:r>
          </w:p>
        </w:tc>
        <w:tc>
          <w:tcPr>
            <w:tcW w:w="0" w:type="auto"/>
            <w:tcBorders>
              <w:top w:val="nil"/>
              <w:left w:val="nil"/>
              <w:bottom w:val="nil"/>
              <w:right w:val="nil"/>
            </w:tcBorders>
            <w:shd w:val="clear" w:color="auto" w:fill="auto"/>
            <w:noWrap/>
            <w:vAlign w:val="center"/>
            <w:hideMark/>
          </w:tcPr>
          <w:p w14:paraId="32000CBD" w14:textId="77777777" w:rsidR="00847F65" w:rsidRPr="005E2B4C" w:rsidRDefault="00847F65" w:rsidP="005E2B4C">
            <w:pPr>
              <w:jc w:val="center"/>
              <w:rPr>
                <w:i/>
                <w:color w:val="000000"/>
                <w:sz w:val="16"/>
                <w:szCs w:val="16"/>
              </w:rPr>
            </w:pPr>
            <w:r w:rsidRPr="005E2B4C">
              <w:rPr>
                <w:i/>
                <w:color w:val="000000"/>
                <w:sz w:val="16"/>
                <w:szCs w:val="16"/>
              </w:rPr>
              <w:t>157</w:t>
            </w:r>
          </w:p>
        </w:tc>
        <w:tc>
          <w:tcPr>
            <w:tcW w:w="0" w:type="auto"/>
            <w:tcBorders>
              <w:top w:val="nil"/>
              <w:left w:val="nil"/>
              <w:bottom w:val="nil"/>
              <w:right w:val="nil"/>
            </w:tcBorders>
            <w:shd w:val="clear" w:color="auto" w:fill="auto"/>
            <w:noWrap/>
            <w:vAlign w:val="center"/>
            <w:hideMark/>
          </w:tcPr>
          <w:p w14:paraId="46F57072" w14:textId="77777777" w:rsidR="00847F65" w:rsidRPr="005E2B4C" w:rsidRDefault="00847F65" w:rsidP="005E2B4C">
            <w:pPr>
              <w:jc w:val="center"/>
              <w:rPr>
                <w:i/>
                <w:color w:val="000000"/>
                <w:sz w:val="16"/>
                <w:szCs w:val="16"/>
              </w:rPr>
            </w:pPr>
            <w:r w:rsidRPr="005E2B4C">
              <w:rPr>
                <w:i/>
                <w:color w:val="000000"/>
                <w:sz w:val="16"/>
                <w:szCs w:val="16"/>
              </w:rPr>
              <w:t>135</w:t>
            </w:r>
          </w:p>
        </w:tc>
        <w:tc>
          <w:tcPr>
            <w:tcW w:w="0" w:type="auto"/>
            <w:tcBorders>
              <w:top w:val="nil"/>
              <w:left w:val="nil"/>
              <w:bottom w:val="nil"/>
              <w:right w:val="nil"/>
            </w:tcBorders>
            <w:shd w:val="clear" w:color="auto" w:fill="auto"/>
            <w:noWrap/>
            <w:vAlign w:val="center"/>
            <w:hideMark/>
          </w:tcPr>
          <w:p w14:paraId="50E7B1AF" w14:textId="77777777" w:rsidR="00847F65" w:rsidRPr="005E2B4C" w:rsidRDefault="00847F65" w:rsidP="005E2B4C">
            <w:pPr>
              <w:jc w:val="center"/>
              <w:rPr>
                <w:i/>
                <w:color w:val="000000"/>
                <w:sz w:val="16"/>
                <w:szCs w:val="16"/>
              </w:rPr>
            </w:pPr>
            <w:r w:rsidRPr="005E2B4C">
              <w:rPr>
                <w:i/>
                <w:color w:val="000000"/>
                <w:sz w:val="16"/>
                <w:szCs w:val="16"/>
              </w:rPr>
              <w:t>135</w:t>
            </w:r>
          </w:p>
        </w:tc>
        <w:tc>
          <w:tcPr>
            <w:tcW w:w="0" w:type="auto"/>
            <w:tcBorders>
              <w:top w:val="nil"/>
              <w:left w:val="single" w:sz="4" w:space="0" w:color="auto"/>
              <w:bottom w:val="nil"/>
              <w:right w:val="nil"/>
            </w:tcBorders>
            <w:shd w:val="clear" w:color="auto" w:fill="auto"/>
            <w:noWrap/>
            <w:vAlign w:val="center"/>
            <w:hideMark/>
          </w:tcPr>
          <w:p w14:paraId="63987278" w14:textId="77777777" w:rsidR="00847F65" w:rsidRPr="005E2B4C" w:rsidRDefault="00847F65" w:rsidP="005E2B4C">
            <w:pPr>
              <w:jc w:val="center"/>
              <w:rPr>
                <w:i/>
                <w:color w:val="000000"/>
                <w:sz w:val="16"/>
                <w:szCs w:val="16"/>
              </w:rPr>
            </w:pPr>
            <w:r w:rsidRPr="005E2B4C">
              <w:rPr>
                <w:i/>
                <w:color w:val="000000"/>
                <w:sz w:val="16"/>
                <w:szCs w:val="16"/>
              </w:rPr>
              <w:t>157</w:t>
            </w:r>
          </w:p>
        </w:tc>
        <w:tc>
          <w:tcPr>
            <w:tcW w:w="0" w:type="auto"/>
            <w:tcBorders>
              <w:top w:val="nil"/>
              <w:left w:val="nil"/>
              <w:bottom w:val="nil"/>
              <w:right w:val="nil"/>
            </w:tcBorders>
            <w:shd w:val="clear" w:color="auto" w:fill="auto"/>
            <w:noWrap/>
            <w:vAlign w:val="center"/>
            <w:hideMark/>
          </w:tcPr>
          <w:p w14:paraId="6A6C5503" w14:textId="77777777" w:rsidR="00847F65" w:rsidRPr="005E2B4C" w:rsidRDefault="00847F65" w:rsidP="005E2B4C">
            <w:pPr>
              <w:jc w:val="center"/>
              <w:rPr>
                <w:i/>
                <w:color w:val="000000"/>
                <w:sz w:val="16"/>
                <w:szCs w:val="16"/>
              </w:rPr>
            </w:pPr>
            <w:r w:rsidRPr="005E2B4C">
              <w:rPr>
                <w:i/>
                <w:color w:val="000000"/>
                <w:sz w:val="16"/>
                <w:szCs w:val="16"/>
              </w:rPr>
              <w:t>157</w:t>
            </w:r>
          </w:p>
        </w:tc>
        <w:tc>
          <w:tcPr>
            <w:tcW w:w="0" w:type="auto"/>
            <w:tcBorders>
              <w:top w:val="nil"/>
              <w:left w:val="nil"/>
              <w:bottom w:val="nil"/>
              <w:right w:val="nil"/>
            </w:tcBorders>
            <w:shd w:val="clear" w:color="auto" w:fill="auto"/>
            <w:noWrap/>
            <w:vAlign w:val="center"/>
            <w:hideMark/>
          </w:tcPr>
          <w:p w14:paraId="590631C0" w14:textId="77777777" w:rsidR="00847F65" w:rsidRPr="005E2B4C" w:rsidRDefault="00847F65" w:rsidP="005E2B4C">
            <w:pPr>
              <w:jc w:val="center"/>
              <w:rPr>
                <w:i/>
                <w:color w:val="000000"/>
                <w:sz w:val="16"/>
                <w:szCs w:val="16"/>
              </w:rPr>
            </w:pPr>
            <w:r w:rsidRPr="005E2B4C">
              <w:rPr>
                <w:i/>
                <w:color w:val="000000"/>
                <w:sz w:val="16"/>
                <w:szCs w:val="16"/>
              </w:rPr>
              <w:t>135</w:t>
            </w:r>
          </w:p>
        </w:tc>
        <w:tc>
          <w:tcPr>
            <w:tcW w:w="0" w:type="auto"/>
            <w:tcBorders>
              <w:top w:val="nil"/>
              <w:left w:val="nil"/>
              <w:bottom w:val="nil"/>
              <w:right w:val="nil"/>
            </w:tcBorders>
            <w:shd w:val="clear" w:color="auto" w:fill="auto"/>
            <w:noWrap/>
            <w:vAlign w:val="center"/>
            <w:hideMark/>
          </w:tcPr>
          <w:p w14:paraId="5DAF6E89" w14:textId="77777777" w:rsidR="00847F65" w:rsidRPr="005E2B4C" w:rsidRDefault="00847F65" w:rsidP="005E2B4C">
            <w:pPr>
              <w:jc w:val="center"/>
              <w:rPr>
                <w:i/>
                <w:color w:val="000000"/>
                <w:sz w:val="16"/>
                <w:szCs w:val="16"/>
              </w:rPr>
            </w:pPr>
            <w:r w:rsidRPr="005E2B4C">
              <w:rPr>
                <w:i/>
                <w:color w:val="000000"/>
                <w:sz w:val="16"/>
                <w:szCs w:val="16"/>
              </w:rPr>
              <w:t>135</w:t>
            </w:r>
          </w:p>
        </w:tc>
      </w:tr>
      <w:tr w:rsidR="006A00B7" w:rsidRPr="005E2B4C" w14:paraId="383AE3CB" w14:textId="77777777" w:rsidTr="005E2B4C">
        <w:trPr>
          <w:trHeight w:val="300"/>
        </w:trPr>
        <w:tc>
          <w:tcPr>
            <w:tcW w:w="0" w:type="auto"/>
            <w:tcBorders>
              <w:top w:val="nil"/>
              <w:left w:val="nil"/>
              <w:bottom w:val="nil"/>
              <w:right w:val="nil"/>
            </w:tcBorders>
            <w:shd w:val="clear" w:color="auto" w:fill="auto"/>
            <w:noWrap/>
            <w:vAlign w:val="center"/>
            <w:hideMark/>
          </w:tcPr>
          <w:p w14:paraId="128C0B98" w14:textId="77777777" w:rsidR="00847F65" w:rsidRPr="005E2B4C" w:rsidRDefault="00847F65" w:rsidP="005E2B4C">
            <w:pPr>
              <w:rPr>
                <w:i/>
                <w:color w:val="000000"/>
                <w:sz w:val="16"/>
                <w:szCs w:val="16"/>
              </w:rPr>
            </w:pPr>
            <w:r w:rsidRPr="005E2B4C">
              <w:rPr>
                <w:i/>
                <w:color w:val="000000"/>
                <w:sz w:val="16"/>
                <w:szCs w:val="16"/>
              </w:rPr>
              <w:t>No. Products</w:t>
            </w:r>
          </w:p>
        </w:tc>
        <w:tc>
          <w:tcPr>
            <w:tcW w:w="0" w:type="auto"/>
            <w:tcBorders>
              <w:top w:val="nil"/>
              <w:left w:val="nil"/>
              <w:bottom w:val="nil"/>
              <w:right w:val="nil"/>
            </w:tcBorders>
            <w:shd w:val="clear" w:color="auto" w:fill="auto"/>
            <w:noWrap/>
            <w:vAlign w:val="center"/>
            <w:hideMark/>
          </w:tcPr>
          <w:p w14:paraId="21A577D3" w14:textId="77777777" w:rsidR="00847F65" w:rsidRPr="005E2B4C" w:rsidRDefault="00847F65" w:rsidP="005E2B4C">
            <w:pPr>
              <w:jc w:val="center"/>
              <w:rPr>
                <w:i/>
                <w:color w:val="000000"/>
                <w:sz w:val="16"/>
                <w:szCs w:val="16"/>
              </w:rPr>
            </w:pPr>
            <w:r w:rsidRPr="005E2B4C">
              <w:rPr>
                <w:i/>
                <w:color w:val="000000"/>
                <w:sz w:val="16"/>
                <w:szCs w:val="16"/>
              </w:rPr>
              <w:t>673</w:t>
            </w:r>
          </w:p>
        </w:tc>
        <w:tc>
          <w:tcPr>
            <w:tcW w:w="0" w:type="auto"/>
            <w:tcBorders>
              <w:top w:val="nil"/>
              <w:left w:val="nil"/>
              <w:bottom w:val="nil"/>
              <w:right w:val="nil"/>
            </w:tcBorders>
            <w:shd w:val="clear" w:color="auto" w:fill="auto"/>
            <w:noWrap/>
            <w:vAlign w:val="center"/>
            <w:hideMark/>
          </w:tcPr>
          <w:p w14:paraId="63F29691" w14:textId="77777777" w:rsidR="00847F65" w:rsidRPr="005E2B4C" w:rsidRDefault="00847F65" w:rsidP="005E2B4C">
            <w:pPr>
              <w:jc w:val="center"/>
              <w:rPr>
                <w:i/>
                <w:color w:val="000000"/>
                <w:sz w:val="16"/>
                <w:szCs w:val="16"/>
              </w:rPr>
            </w:pPr>
            <w:r w:rsidRPr="005E2B4C">
              <w:rPr>
                <w:i/>
                <w:color w:val="000000"/>
                <w:sz w:val="16"/>
                <w:szCs w:val="16"/>
              </w:rPr>
              <w:t>908</w:t>
            </w:r>
          </w:p>
        </w:tc>
        <w:tc>
          <w:tcPr>
            <w:tcW w:w="0" w:type="auto"/>
            <w:tcBorders>
              <w:top w:val="nil"/>
              <w:left w:val="nil"/>
              <w:bottom w:val="nil"/>
              <w:right w:val="nil"/>
            </w:tcBorders>
            <w:shd w:val="clear" w:color="auto" w:fill="auto"/>
            <w:noWrap/>
            <w:vAlign w:val="center"/>
            <w:hideMark/>
          </w:tcPr>
          <w:p w14:paraId="6C872C5D" w14:textId="77777777" w:rsidR="00847F65" w:rsidRPr="005E2B4C" w:rsidRDefault="00847F65" w:rsidP="005E2B4C">
            <w:pPr>
              <w:jc w:val="center"/>
              <w:rPr>
                <w:i/>
                <w:color w:val="000000"/>
                <w:sz w:val="16"/>
                <w:szCs w:val="16"/>
              </w:rPr>
            </w:pPr>
            <w:r w:rsidRPr="005E2B4C">
              <w:rPr>
                <w:i/>
                <w:color w:val="000000"/>
                <w:sz w:val="16"/>
                <w:szCs w:val="16"/>
              </w:rPr>
              <w:t>673</w:t>
            </w:r>
          </w:p>
        </w:tc>
        <w:tc>
          <w:tcPr>
            <w:tcW w:w="0" w:type="auto"/>
            <w:tcBorders>
              <w:top w:val="nil"/>
              <w:left w:val="nil"/>
              <w:bottom w:val="nil"/>
              <w:right w:val="nil"/>
            </w:tcBorders>
            <w:shd w:val="clear" w:color="auto" w:fill="auto"/>
            <w:noWrap/>
            <w:vAlign w:val="center"/>
            <w:hideMark/>
          </w:tcPr>
          <w:p w14:paraId="18BDD703" w14:textId="77777777" w:rsidR="00847F65" w:rsidRPr="005E2B4C" w:rsidRDefault="00847F65" w:rsidP="005E2B4C">
            <w:pPr>
              <w:jc w:val="center"/>
              <w:rPr>
                <w:i/>
                <w:color w:val="000000"/>
                <w:sz w:val="16"/>
                <w:szCs w:val="16"/>
              </w:rPr>
            </w:pPr>
            <w:r w:rsidRPr="005E2B4C">
              <w:rPr>
                <w:i/>
                <w:color w:val="000000"/>
                <w:sz w:val="16"/>
                <w:szCs w:val="16"/>
              </w:rPr>
              <w:t>908</w:t>
            </w:r>
          </w:p>
        </w:tc>
        <w:tc>
          <w:tcPr>
            <w:tcW w:w="0" w:type="auto"/>
            <w:tcBorders>
              <w:top w:val="nil"/>
              <w:left w:val="single" w:sz="4" w:space="0" w:color="auto"/>
              <w:bottom w:val="nil"/>
              <w:right w:val="nil"/>
            </w:tcBorders>
            <w:shd w:val="clear" w:color="auto" w:fill="auto"/>
            <w:noWrap/>
            <w:vAlign w:val="center"/>
            <w:hideMark/>
          </w:tcPr>
          <w:p w14:paraId="45EE3EDE" w14:textId="77777777" w:rsidR="00847F65" w:rsidRPr="005E2B4C" w:rsidRDefault="00847F65" w:rsidP="005E2B4C">
            <w:pPr>
              <w:jc w:val="center"/>
              <w:rPr>
                <w:i/>
                <w:color w:val="000000"/>
                <w:sz w:val="16"/>
                <w:szCs w:val="16"/>
              </w:rPr>
            </w:pPr>
            <w:r w:rsidRPr="005E2B4C">
              <w:rPr>
                <w:i/>
                <w:color w:val="000000"/>
                <w:sz w:val="16"/>
                <w:szCs w:val="16"/>
              </w:rPr>
              <w:t>345</w:t>
            </w:r>
          </w:p>
        </w:tc>
        <w:tc>
          <w:tcPr>
            <w:tcW w:w="0" w:type="auto"/>
            <w:tcBorders>
              <w:top w:val="nil"/>
              <w:left w:val="nil"/>
              <w:bottom w:val="nil"/>
              <w:right w:val="nil"/>
            </w:tcBorders>
            <w:shd w:val="clear" w:color="auto" w:fill="auto"/>
            <w:noWrap/>
            <w:vAlign w:val="center"/>
            <w:hideMark/>
          </w:tcPr>
          <w:p w14:paraId="5FEEAE00" w14:textId="77777777" w:rsidR="00847F65" w:rsidRPr="005E2B4C" w:rsidRDefault="00847F65" w:rsidP="005E2B4C">
            <w:pPr>
              <w:jc w:val="center"/>
              <w:rPr>
                <w:i/>
                <w:color w:val="000000"/>
                <w:sz w:val="16"/>
                <w:szCs w:val="16"/>
              </w:rPr>
            </w:pPr>
            <w:r w:rsidRPr="005E2B4C">
              <w:rPr>
                <w:i/>
                <w:color w:val="000000"/>
                <w:sz w:val="16"/>
                <w:szCs w:val="16"/>
              </w:rPr>
              <w:t>504</w:t>
            </w:r>
          </w:p>
        </w:tc>
        <w:tc>
          <w:tcPr>
            <w:tcW w:w="0" w:type="auto"/>
            <w:tcBorders>
              <w:top w:val="nil"/>
              <w:left w:val="nil"/>
              <w:bottom w:val="nil"/>
              <w:right w:val="nil"/>
            </w:tcBorders>
            <w:shd w:val="clear" w:color="auto" w:fill="auto"/>
            <w:noWrap/>
            <w:vAlign w:val="center"/>
            <w:hideMark/>
          </w:tcPr>
          <w:p w14:paraId="629630A8" w14:textId="77777777" w:rsidR="00847F65" w:rsidRPr="005E2B4C" w:rsidRDefault="00847F65" w:rsidP="005E2B4C">
            <w:pPr>
              <w:jc w:val="center"/>
              <w:rPr>
                <w:i/>
                <w:color w:val="000000"/>
                <w:sz w:val="16"/>
                <w:szCs w:val="16"/>
              </w:rPr>
            </w:pPr>
            <w:r w:rsidRPr="005E2B4C">
              <w:rPr>
                <w:i/>
                <w:color w:val="000000"/>
                <w:sz w:val="16"/>
                <w:szCs w:val="16"/>
              </w:rPr>
              <w:t>341</w:t>
            </w:r>
          </w:p>
        </w:tc>
        <w:tc>
          <w:tcPr>
            <w:tcW w:w="0" w:type="auto"/>
            <w:tcBorders>
              <w:top w:val="nil"/>
              <w:left w:val="nil"/>
              <w:bottom w:val="nil"/>
              <w:right w:val="nil"/>
            </w:tcBorders>
            <w:shd w:val="clear" w:color="auto" w:fill="auto"/>
            <w:noWrap/>
            <w:vAlign w:val="center"/>
            <w:hideMark/>
          </w:tcPr>
          <w:p w14:paraId="36D58422" w14:textId="77777777" w:rsidR="00847F65" w:rsidRPr="005E2B4C" w:rsidRDefault="00847F65" w:rsidP="005E2B4C">
            <w:pPr>
              <w:jc w:val="center"/>
              <w:rPr>
                <w:i/>
                <w:color w:val="000000"/>
                <w:sz w:val="16"/>
                <w:szCs w:val="16"/>
              </w:rPr>
            </w:pPr>
            <w:r w:rsidRPr="005E2B4C">
              <w:rPr>
                <w:i/>
                <w:color w:val="000000"/>
                <w:sz w:val="16"/>
                <w:szCs w:val="16"/>
              </w:rPr>
              <w:t>494</w:t>
            </w:r>
          </w:p>
        </w:tc>
      </w:tr>
      <w:tr w:rsidR="006A00B7" w:rsidRPr="005E2B4C" w14:paraId="22F917BD" w14:textId="77777777" w:rsidTr="005E2B4C">
        <w:trPr>
          <w:trHeight w:val="300"/>
        </w:trPr>
        <w:tc>
          <w:tcPr>
            <w:tcW w:w="0" w:type="auto"/>
            <w:tcBorders>
              <w:top w:val="nil"/>
              <w:left w:val="nil"/>
              <w:bottom w:val="nil"/>
              <w:right w:val="nil"/>
            </w:tcBorders>
            <w:shd w:val="clear" w:color="auto" w:fill="auto"/>
            <w:noWrap/>
            <w:vAlign w:val="center"/>
            <w:hideMark/>
          </w:tcPr>
          <w:p w14:paraId="4641BB9C" w14:textId="77777777" w:rsidR="00847F65" w:rsidRPr="005E2B4C" w:rsidRDefault="001521FE" w:rsidP="005E2B4C">
            <w:pPr>
              <w:rPr>
                <w:i/>
                <w:color w:val="000000"/>
                <w:sz w:val="16"/>
                <w:szCs w:val="16"/>
              </w:rPr>
            </w:pPr>
            <m:oMathPara>
              <m:oMathParaPr>
                <m:jc m:val="left"/>
              </m:oMathParaPr>
              <m:oMath>
                <m:sSup>
                  <m:sSupPr>
                    <m:ctrlPr>
                      <w:rPr>
                        <w:rFonts w:ascii="Cambria Math" w:hAnsi="Cambria Math"/>
                        <w:i/>
                        <w:color w:val="000000"/>
                        <w:sz w:val="16"/>
                        <w:szCs w:val="16"/>
                      </w:rPr>
                    </m:ctrlPr>
                  </m:sSupPr>
                  <m:e>
                    <m:r>
                      <w:rPr>
                        <w:rFonts w:ascii="Cambria Math" w:hAnsi="Cambria Math"/>
                        <w:color w:val="000000"/>
                        <w:sz w:val="16"/>
                        <w:szCs w:val="16"/>
                      </w:rPr>
                      <m:t>R</m:t>
                    </m:r>
                  </m:e>
                  <m:sup>
                    <m:r>
                      <w:rPr>
                        <w:rFonts w:ascii="Cambria Math" w:hAnsi="Cambria Math"/>
                        <w:color w:val="000000"/>
                        <w:sz w:val="16"/>
                        <w:szCs w:val="16"/>
                      </w:rPr>
                      <m:t>2</m:t>
                    </m:r>
                  </m:sup>
                </m:sSup>
              </m:oMath>
            </m:oMathPara>
          </w:p>
        </w:tc>
        <w:tc>
          <w:tcPr>
            <w:tcW w:w="0" w:type="auto"/>
            <w:tcBorders>
              <w:top w:val="nil"/>
              <w:left w:val="nil"/>
              <w:bottom w:val="nil"/>
              <w:right w:val="nil"/>
            </w:tcBorders>
            <w:shd w:val="clear" w:color="auto" w:fill="auto"/>
            <w:noWrap/>
            <w:vAlign w:val="center"/>
            <w:hideMark/>
          </w:tcPr>
          <w:p w14:paraId="62C739D8" w14:textId="77777777" w:rsidR="00847F65" w:rsidRPr="005E2B4C" w:rsidRDefault="00847F65" w:rsidP="005E2B4C">
            <w:pPr>
              <w:jc w:val="center"/>
              <w:rPr>
                <w:i/>
                <w:color w:val="000000"/>
                <w:sz w:val="16"/>
                <w:szCs w:val="16"/>
              </w:rPr>
            </w:pPr>
            <w:r w:rsidRPr="005E2B4C">
              <w:rPr>
                <w:i/>
                <w:color w:val="000000"/>
                <w:sz w:val="16"/>
                <w:szCs w:val="16"/>
              </w:rPr>
              <w:t>0.116</w:t>
            </w:r>
          </w:p>
        </w:tc>
        <w:tc>
          <w:tcPr>
            <w:tcW w:w="0" w:type="auto"/>
            <w:tcBorders>
              <w:top w:val="nil"/>
              <w:left w:val="nil"/>
              <w:bottom w:val="nil"/>
              <w:right w:val="nil"/>
            </w:tcBorders>
            <w:shd w:val="clear" w:color="auto" w:fill="auto"/>
            <w:noWrap/>
            <w:vAlign w:val="center"/>
            <w:hideMark/>
          </w:tcPr>
          <w:p w14:paraId="1002FC12" w14:textId="77777777" w:rsidR="00847F65" w:rsidRPr="005E2B4C" w:rsidRDefault="00847F65" w:rsidP="005E2B4C">
            <w:pPr>
              <w:jc w:val="center"/>
              <w:rPr>
                <w:i/>
                <w:color w:val="000000"/>
                <w:sz w:val="16"/>
                <w:szCs w:val="16"/>
              </w:rPr>
            </w:pPr>
            <w:r w:rsidRPr="005E2B4C">
              <w:rPr>
                <w:i/>
                <w:color w:val="000000"/>
                <w:sz w:val="16"/>
                <w:szCs w:val="16"/>
              </w:rPr>
              <w:t>0.108</w:t>
            </w:r>
          </w:p>
        </w:tc>
        <w:tc>
          <w:tcPr>
            <w:tcW w:w="0" w:type="auto"/>
            <w:tcBorders>
              <w:top w:val="nil"/>
              <w:left w:val="nil"/>
              <w:bottom w:val="nil"/>
              <w:right w:val="nil"/>
            </w:tcBorders>
            <w:shd w:val="clear" w:color="auto" w:fill="auto"/>
            <w:noWrap/>
            <w:vAlign w:val="center"/>
            <w:hideMark/>
          </w:tcPr>
          <w:p w14:paraId="5D8D07E4" w14:textId="77777777" w:rsidR="00847F65" w:rsidRPr="005E2B4C" w:rsidRDefault="00847F65" w:rsidP="005E2B4C">
            <w:pPr>
              <w:jc w:val="center"/>
              <w:rPr>
                <w:i/>
                <w:color w:val="000000"/>
                <w:sz w:val="16"/>
                <w:szCs w:val="16"/>
              </w:rPr>
            </w:pPr>
            <w:r w:rsidRPr="005E2B4C">
              <w:rPr>
                <w:i/>
                <w:color w:val="000000"/>
                <w:sz w:val="16"/>
                <w:szCs w:val="16"/>
              </w:rPr>
              <w:t>0.117</w:t>
            </w:r>
          </w:p>
        </w:tc>
        <w:tc>
          <w:tcPr>
            <w:tcW w:w="0" w:type="auto"/>
            <w:tcBorders>
              <w:top w:val="nil"/>
              <w:left w:val="nil"/>
              <w:bottom w:val="nil"/>
              <w:right w:val="nil"/>
            </w:tcBorders>
            <w:shd w:val="clear" w:color="auto" w:fill="auto"/>
            <w:noWrap/>
            <w:vAlign w:val="center"/>
            <w:hideMark/>
          </w:tcPr>
          <w:p w14:paraId="0674AF5E" w14:textId="77777777" w:rsidR="00847F65" w:rsidRPr="005E2B4C" w:rsidRDefault="00847F65" w:rsidP="005E2B4C">
            <w:pPr>
              <w:jc w:val="center"/>
              <w:rPr>
                <w:i/>
                <w:color w:val="000000"/>
                <w:sz w:val="16"/>
                <w:szCs w:val="16"/>
              </w:rPr>
            </w:pPr>
            <w:r w:rsidRPr="005E2B4C">
              <w:rPr>
                <w:i/>
                <w:color w:val="000000"/>
                <w:sz w:val="16"/>
                <w:szCs w:val="16"/>
              </w:rPr>
              <w:t>0.11</w:t>
            </w:r>
          </w:p>
        </w:tc>
        <w:tc>
          <w:tcPr>
            <w:tcW w:w="0" w:type="auto"/>
            <w:tcBorders>
              <w:top w:val="nil"/>
              <w:left w:val="single" w:sz="4" w:space="0" w:color="auto"/>
              <w:bottom w:val="nil"/>
              <w:right w:val="nil"/>
            </w:tcBorders>
            <w:shd w:val="clear" w:color="auto" w:fill="auto"/>
            <w:noWrap/>
            <w:vAlign w:val="center"/>
            <w:hideMark/>
          </w:tcPr>
          <w:p w14:paraId="45784E17" w14:textId="77777777" w:rsidR="00847F65" w:rsidRPr="005E2B4C" w:rsidRDefault="00847F65" w:rsidP="005E2B4C">
            <w:pPr>
              <w:jc w:val="center"/>
              <w:rPr>
                <w:i/>
                <w:color w:val="000000"/>
                <w:sz w:val="16"/>
                <w:szCs w:val="16"/>
              </w:rPr>
            </w:pPr>
            <w:r w:rsidRPr="005E2B4C">
              <w:rPr>
                <w:i/>
                <w:color w:val="000000"/>
                <w:sz w:val="16"/>
                <w:szCs w:val="16"/>
              </w:rPr>
              <w:t>0.116</w:t>
            </w:r>
          </w:p>
        </w:tc>
        <w:tc>
          <w:tcPr>
            <w:tcW w:w="0" w:type="auto"/>
            <w:tcBorders>
              <w:top w:val="nil"/>
              <w:left w:val="nil"/>
              <w:bottom w:val="nil"/>
              <w:right w:val="nil"/>
            </w:tcBorders>
            <w:shd w:val="clear" w:color="auto" w:fill="auto"/>
            <w:noWrap/>
            <w:vAlign w:val="center"/>
            <w:hideMark/>
          </w:tcPr>
          <w:p w14:paraId="335890E3" w14:textId="77777777" w:rsidR="00847F65" w:rsidRPr="005E2B4C" w:rsidRDefault="00847F65" w:rsidP="005E2B4C">
            <w:pPr>
              <w:jc w:val="center"/>
              <w:rPr>
                <w:i/>
                <w:color w:val="000000"/>
                <w:sz w:val="16"/>
                <w:szCs w:val="16"/>
              </w:rPr>
            </w:pPr>
            <w:r w:rsidRPr="005E2B4C">
              <w:rPr>
                <w:i/>
                <w:color w:val="000000"/>
                <w:sz w:val="16"/>
                <w:szCs w:val="16"/>
              </w:rPr>
              <w:t>0.108</w:t>
            </w:r>
          </w:p>
        </w:tc>
        <w:tc>
          <w:tcPr>
            <w:tcW w:w="0" w:type="auto"/>
            <w:tcBorders>
              <w:top w:val="nil"/>
              <w:left w:val="nil"/>
              <w:bottom w:val="nil"/>
              <w:right w:val="nil"/>
            </w:tcBorders>
            <w:shd w:val="clear" w:color="auto" w:fill="auto"/>
            <w:noWrap/>
            <w:vAlign w:val="center"/>
            <w:hideMark/>
          </w:tcPr>
          <w:p w14:paraId="67BB27B5" w14:textId="77777777" w:rsidR="00847F65" w:rsidRPr="005E2B4C" w:rsidRDefault="00847F65" w:rsidP="005E2B4C">
            <w:pPr>
              <w:jc w:val="center"/>
              <w:rPr>
                <w:i/>
                <w:color w:val="000000"/>
                <w:sz w:val="16"/>
                <w:szCs w:val="16"/>
              </w:rPr>
            </w:pPr>
            <w:r w:rsidRPr="005E2B4C">
              <w:rPr>
                <w:i/>
                <w:color w:val="000000"/>
                <w:sz w:val="16"/>
                <w:szCs w:val="16"/>
              </w:rPr>
              <w:t>0.116</w:t>
            </w:r>
          </w:p>
        </w:tc>
        <w:tc>
          <w:tcPr>
            <w:tcW w:w="0" w:type="auto"/>
            <w:tcBorders>
              <w:top w:val="nil"/>
              <w:left w:val="nil"/>
              <w:bottom w:val="nil"/>
              <w:right w:val="nil"/>
            </w:tcBorders>
            <w:shd w:val="clear" w:color="auto" w:fill="auto"/>
            <w:noWrap/>
            <w:vAlign w:val="center"/>
            <w:hideMark/>
          </w:tcPr>
          <w:p w14:paraId="11EF4364" w14:textId="77777777" w:rsidR="00847F65" w:rsidRPr="005E2B4C" w:rsidRDefault="00847F65" w:rsidP="005E2B4C">
            <w:pPr>
              <w:jc w:val="center"/>
              <w:rPr>
                <w:i/>
                <w:color w:val="000000"/>
                <w:sz w:val="16"/>
                <w:szCs w:val="16"/>
              </w:rPr>
            </w:pPr>
            <w:r w:rsidRPr="005E2B4C">
              <w:rPr>
                <w:i/>
                <w:color w:val="000000"/>
                <w:sz w:val="16"/>
                <w:szCs w:val="16"/>
              </w:rPr>
              <w:t>0.109</w:t>
            </w:r>
          </w:p>
        </w:tc>
      </w:tr>
      <w:tr w:rsidR="006A00B7" w:rsidRPr="005E2B4C" w14:paraId="012D82EC" w14:textId="77777777" w:rsidTr="005E2B4C">
        <w:trPr>
          <w:trHeight w:val="300"/>
        </w:trPr>
        <w:tc>
          <w:tcPr>
            <w:tcW w:w="0" w:type="auto"/>
            <w:tcBorders>
              <w:top w:val="nil"/>
              <w:left w:val="nil"/>
              <w:bottom w:val="nil"/>
              <w:right w:val="nil"/>
            </w:tcBorders>
            <w:shd w:val="clear" w:color="auto" w:fill="auto"/>
            <w:noWrap/>
            <w:vAlign w:val="center"/>
            <w:hideMark/>
          </w:tcPr>
          <w:p w14:paraId="49108148" w14:textId="77777777" w:rsidR="00847F65" w:rsidRPr="005E2B4C" w:rsidRDefault="00847F65" w:rsidP="005E2B4C">
            <w:pPr>
              <w:rPr>
                <w:i/>
                <w:color w:val="000000"/>
                <w:sz w:val="16"/>
                <w:szCs w:val="16"/>
              </w:rPr>
            </w:pPr>
            <w:r w:rsidRPr="005E2B4C">
              <w:rPr>
                <w:i/>
                <w:color w:val="000000"/>
                <w:sz w:val="16"/>
                <w:szCs w:val="16"/>
              </w:rPr>
              <w:t>FE</w:t>
            </w:r>
          </w:p>
        </w:tc>
        <w:tc>
          <w:tcPr>
            <w:tcW w:w="0" w:type="auto"/>
            <w:tcBorders>
              <w:top w:val="nil"/>
              <w:left w:val="nil"/>
              <w:bottom w:val="nil"/>
              <w:right w:val="nil"/>
            </w:tcBorders>
            <w:shd w:val="clear" w:color="auto" w:fill="auto"/>
            <w:noWrap/>
            <w:vAlign w:val="center"/>
            <w:hideMark/>
          </w:tcPr>
          <w:p w14:paraId="193C75E9" w14:textId="77777777" w:rsidR="00847F65" w:rsidRPr="005E2B4C" w:rsidRDefault="00847F65" w:rsidP="005E2B4C">
            <w:pPr>
              <w:jc w:val="center"/>
              <w:rPr>
                <w:i/>
                <w:color w:val="000000"/>
                <w:sz w:val="16"/>
                <w:szCs w:val="16"/>
              </w:rPr>
            </w:pPr>
            <w:r w:rsidRPr="005E2B4C">
              <w:rPr>
                <w:i/>
                <w:color w:val="000000"/>
                <w:sz w:val="16"/>
                <w:szCs w:val="16"/>
              </w:rPr>
              <w:t>it,jt,kt</w:t>
            </w:r>
          </w:p>
        </w:tc>
        <w:tc>
          <w:tcPr>
            <w:tcW w:w="0" w:type="auto"/>
            <w:tcBorders>
              <w:top w:val="nil"/>
              <w:left w:val="nil"/>
              <w:bottom w:val="nil"/>
              <w:right w:val="nil"/>
            </w:tcBorders>
            <w:shd w:val="clear" w:color="auto" w:fill="auto"/>
            <w:noWrap/>
            <w:vAlign w:val="center"/>
            <w:hideMark/>
          </w:tcPr>
          <w:p w14:paraId="3F841B73" w14:textId="77777777" w:rsidR="00847F65" w:rsidRPr="005E2B4C" w:rsidRDefault="00847F65" w:rsidP="005E2B4C">
            <w:pPr>
              <w:jc w:val="center"/>
              <w:rPr>
                <w:i/>
                <w:color w:val="000000"/>
                <w:sz w:val="16"/>
                <w:szCs w:val="16"/>
              </w:rPr>
            </w:pPr>
            <w:r w:rsidRPr="005E2B4C">
              <w:rPr>
                <w:i/>
                <w:color w:val="000000"/>
                <w:sz w:val="16"/>
                <w:szCs w:val="16"/>
              </w:rPr>
              <w:t>it,jt,kt</w:t>
            </w:r>
          </w:p>
        </w:tc>
        <w:tc>
          <w:tcPr>
            <w:tcW w:w="0" w:type="auto"/>
            <w:tcBorders>
              <w:top w:val="nil"/>
              <w:left w:val="nil"/>
              <w:bottom w:val="nil"/>
              <w:right w:val="nil"/>
            </w:tcBorders>
            <w:shd w:val="clear" w:color="auto" w:fill="auto"/>
            <w:noWrap/>
            <w:vAlign w:val="center"/>
            <w:hideMark/>
          </w:tcPr>
          <w:p w14:paraId="4A1DE045" w14:textId="77777777" w:rsidR="00847F65" w:rsidRPr="005E2B4C" w:rsidRDefault="00847F65" w:rsidP="005E2B4C">
            <w:pPr>
              <w:jc w:val="center"/>
              <w:rPr>
                <w:i/>
                <w:color w:val="000000"/>
                <w:sz w:val="16"/>
                <w:szCs w:val="16"/>
              </w:rPr>
            </w:pPr>
            <w:r w:rsidRPr="005E2B4C">
              <w:rPr>
                <w:i/>
                <w:color w:val="000000"/>
                <w:sz w:val="16"/>
                <w:szCs w:val="16"/>
              </w:rPr>
              <w:t>it,jt,kt</w:t>
            </w:r>
          </w:p>
        </w:tc>
        <w:tc>
          <w:tcPr>
            <w:tcW w:w="0" w:type="auto"/>
            <w:tcBorders>
              <w:top w:val="nil"/>
              <w:left w:val="nil"/>
              <w:bottom w:val="nil"/>
              <w:right w:val="nil"/>
            </w:tcBorders>
            <w:shd w:val="clear" w:color="auto" w:fill="auto"/>
            <w:noWrap/>
            <w:vAlign w:val="center"/>
            <w:hideMark/>
          </w:tcPr>
          <w:p w14:paraId="77319A91" w14:textId="77777777" w:rsidR="00847F65" w:rsidRPr="005E2B4C" w:rsidRDefault="00847F65" w:rsidP="005E2B4C">
            <w:pPr>
              <w:jc w:val="center"/>
              <w:rPr>
                <w:i/>
                <w:color w:val="000000"/>
                <w:sz w:val="16"/>
                <w:szCs w:val="16"/>
              </w:rPr>
            </w:pPr>
            <w:r w:rsidRPr="005E2B4C">
              <w:rPr>
                <w:i/>
                <w:color w:val="000000"/>
                <w:sz w:val="16"/>
                <w:szCs w:val="16"/>
              </w:rPr>
              <w:t>it,jt,kt</w:t>
            </w:r>
          </w:p>
        </w:tc>
        <w:tc>
          <w:tcPr>
            <w:tcW w:w="0" w:type="auto"/>
            <w:tcBorders>
              <w:top w:val="nil"/>
              <w:left w:val="single" w:sz="4" w:space="0" w:color="auto"/>
              <w:bottom w:val="nil"/>
              <w:right w:val="nil"/>
            </w:tcBorders>
            <w:shd w:val="clear" w:color="auto" w:fill="auto"/>
            <w:noWrap/>
            <w:vAlign w:val="center"/>
            <w:hideMark/>
          </w:tcPr>
          <w:p w14:paraId="4503B545" w14:textId="77777777" w:rsidR="00847F65" w:rsidRPr="005E2B4C" w:rsidRDefault="00847F65" w:rsidP="005E2B4C">
            <w:pPr>
              <w:jc w:val="center"/>
              <w:rPr>
                <w:i/>
                <w:color w:val="000000"/>
                <w:sz w:val="16"/>
                <w:szCs w:val="16"/>
              </w:rPr>
            </w:pPr>
            <w:r w:rsidRPr="005E2B4C">
              <w:rPr>
                <w:i/>
                <w:color w:val="000000"/>
                <w:sz w:val="16"/>
                <w:szCs w:val="16"/>
              </w:rPr>
              <w:t>it,jt,kt</w:t>
            </w:r>
          </w:p>
        </w:tc>
        <w:tc>
          <w:tcPr>
            <w:tcW w:w="0" w:type="auto"/>
            <w:tcBorders>
              <w:top w:val="nil"/>
              <w:left w:val="nil"/>
              <w:bottom w:val="nil"/>
              <w:right w:val="nil"/>
            </w:tcBorders>
            <w:shd w:val="clear" w:color="auto" w:fill="auto"/>
            <w:noWrap/>
            <w:vAlign w:val="center"/>
            <w:hideMark/>
          </w:tcPr>
          <w:p w14:paraId="3A4DF700" w14:textId="77777777" w:rsidR="00847F65" w:rsidRPr="005E2B4C" w:rsidRDefault="00847F65" w:rsidP="005E2B4C">
            <w:pPr>
              <w:jc w:val="center"/>
              <w:rPr>
                <w:i/>
                <w:color w:val="000000"/>
                <w:sz w:val="16"/>
                <w:szCs w:val="16"/>
              </w:rPr>
            </w:pPr>
            <w:r w:rsidRPr="005E2B4C">
              <w:rPr>
                <w:i/>
                <w:color w:val="000000"/>
                <w:sz w:val="16"/>
                <w:szCs w:val="16"/>
              </w:rPr>
              <w:t>it,jt,kt</w:t>
            </w:r>
          </w:p>
        </w:tc>
        <w:tc>
          <w:tcPr>
            <w:tcW w:w="0" w:type="auto"/>
            <w:tcBorders>
              <w:top w:val="nil"/>
              <w:left w:val="nil"/>
              <w:bottom w:val="nil"/>
              <w:right w:val="nil"/>
            </w:tcBorders>
            <w:shd w:val="clear" w:color="auto" w:fill="auto"/>
            <w:noWrap/>
            <w:vAlign w:val="center"/>
            <w:hideMark/>
          </w:tcPr>
          <w:p w14:paraId="5C099A28" w14:textId="77777777" w:rsidR="00847F65" w:rsidRPr="005E2B4C" w:rsidRDefault="00847F65" w:rsidP="005E2B4C">
            <w:pPr>
              <w:jc w:val="center"/>
              <w:rPr>
                <w:i/>
                <w:color w:val="000000"/>
                <w:sz w:val="16"/>
                <w:szCs w:val="16"/>
              </w:rPr>
            </w:pPr>
            <w:r w:rsidRPr="005E2B4C">
              <w:rPr>
                <w:i/>
                <w:color w:val="000000"/>
                <w:sz w:val="16"/>
                <w:szCs w:val="16"/>
              </w:rPr>
              <w:t>it,jt,kt</w:t>
            </w:r>
          </w:p>
        </w:tc>
        <w:tc>
          <w:tcPr>
            <w:tcW w:w="0" w:type="auto"/>
            <w:tcBorders>
              <w:top w:val="nil"/>
              <w:left w:val="nil"/>
              <w:bottom w:val="nil"/>
              <w:right w:val="nil"/>
            </w:tcBorders>
            <w:shd w:val="clear" w:color="auto" w:fill="auto"/>
            <w:noWrap/>
            <w:vAlign w:val="center"/>
            <w:hideMark/>
          </w:tcPr>
          <w:p w14:paraId="776BE498" w14:textId="77777777" w:rsidR="00847F65" w:rsidRPr="005E2B4C" w:rsidRDefault="00847F65" w:rsidP="005E2B4C">
            <w:pPr>
              <w:jc w:val="center"/>
              <w:rPr>
                <w:i/>
                <w:color w:val="000000"/>
                <w:sz w:val="16"/>
                <w:szCs w:val="16"/>
              </w:rPr>
            </w:pPr>
            <w:r w:rsidRPr="005E2B4C">
              <w:rPr>
                <w:i/>
                <w:color w:val="000000"/>
                <w:sz w:val="16"/>
                <w:szCs w:val="16"/>
              </w:rPr>
              <w:t>it,jt,kt</w:t>
            </w:r>
          </w:p>
        </w:tc>
      </w:tr>
      <w:tr w:rsidR="006A00B7" w:rsidRPr="005E2B4C" w14:paraId="312D7958" w14:textId="77777777" w:rsidTr="005E2B4C">
        <w:trPr>
          <w:trHeight w:val="300"/>
        </w:trPr>
        <w:tc>
          <w:tcPr>
            <w:tcW w:w="0" w:type="auto"/>
            <w:tcBorders>
              <w:top w:val="nil"/>
              <w:left w:val="nil"/>
              <w:bottom w:val="single" w:sz="4" w:space="0" w:color="auto"/>
              <w:right w:val="nil"/>
            </w:tcBorders>
            <w:shd w:val="clear" w:color="auto" w:fill="auto"/>
            <w:noWrap/>
            <w:vAlign w:val="center"/>
            <w:hideMark/>
          </w:tcPr>
          <w:p w14:paraId="4A045A32" w14:textId="77777777" w:rsidR="00847F65" w:rsidRPr="005E2B4C" w:rsidRDefault="005E2B4C" w:rsidP="005E2B4C">
            <w:pPr>
              <w:rPr>
                <w:i/>
                <w:color w:val="000000"/>
                <w:sz w:val="16"/>
                <w:szCs w:val="16"/>
              </w:rPr>
            </w:pPr>
            <m:oMathPara>
              <m:oMathParaPr>
                <m:jc m:val="left"/>
              </m:oMathParaPr>
              <m:oMath>
                <m:r>
                  <w:rPr>
                    <w:rFonts w:ascii="Cambria Math" w:hAnsi="Cambria Math"/>
                    <w:color w:val="000000"/>
                    <w:sz w:val="16"/>
                    <w:szCs w:val="16"/>
                  </w:rPr>
                  <m:t>Total AT</m:t>
                </m:r>
                <m:sSup>
                  <m:sSupPr>
                    <m:ctrlPr>
                      <w:rPr>
                        <w:rFonts w:ascii="Cambria Math" w:hAnsi="Cambria Math"/>
                        <w:i/>
                        <w:color w:val="000000"/>
                        <w:sz w:val="16"/>
                        <w:szCs w:val="16"/>
                      </w:rPr>
                    </m:ctrlPr>
                  </m:sSupPr>
                  <m:e>
                    <m:r>
                      <w:rPr>
                        <w:rFonts w:ascii="Cambria Math" w:hAnsi="Cambria Math"/>
                        <w:color w:val="000000"/>
                        <w:sz w:val="16"/>
                        <w:szCs w:val="16"/>
                      </w:rPr>
                      <m:t>E</m:t>
                    </m:r>
                  </m:e>
                  <m:sup>
                    <m:r>
                      <w:rPr>
                        <w:rFonts w:ascii="Cambria Math" w:hAnsi="Cambria Math"/>
                        <w:color w:val="000000"/>
                        <w:sz w:val="16"/>
                        <w:szCs w:val="16"/>
                      </w:rPr>
                      <m:t>a</m:t>
                    </m:r>
                  </m:sup>
                </m:sSup>
              </m:oMath>
            </m:oMathPara>
          </w:p>
        </w:tc>
        <w:tc>
          <w:tcPr>
            <w:tcW w:w="0" w:type="auto"/>
            <w:tcBorders>
              <w:top w:val="nil"/>
              <w:left w:val="nil"/>
              <w:bottom w:val="single" w:sz="4" w:space="0" w:color="auto"/>
              <w:right w:val="nil"/>
            </w:tcBorders>
            <w:shd w:val="clear" w:color="auto" w:fill="auto"/>
            <w:noWrap/>
            <w:vAlign w:val="center"/>
            <w:hideMark/>
          </w:tcPr>
          <w:p w14:paraId="24050E6D" w14:textId="77777777" w:rsidR="00847F65" w:rsidRPr="005E2B4C" w:rsidRDefault="00847F65" w:rsidP="005E2B4C">
            <w:pPr>
              <w:jc w:val="center"/>
              <w:rPr>
                <w:i/>
                <w:color w:val="000000"/>
                <w:sz w:val="16"/>
                <w:szCs w:val="16"/>
              </w:rPr>
            </w:pPr>
            <w:r w:rsidRPr="005E2B4C">
              <w:rPr>
                <w:i/>
                <w:color w:val="000000"/>
                <w:sz w:val="16"/>
                <w:szCs w:val="16"/>
              </w:rPr>
              <w:t>357%</w:t>
            </w:r>
          </w:p>
        </w:tc>
        <w:tc>
          <w:tcPr>
            <w:tcW w:w="0" w:type="auto"/>
            <w:tcBorders>
              <w:top w:val="nil"/>
              <w:left w:val="nil"/>
              <w:bottom w:val="single" w:sz="4" w:space="0" w:color="auto"/>
              <w:right w:val="nil"/>
            </w:tcBorders>
            <w:shd w:val="clear" w:color="auto" w:fill="auto"/>
            <w:noWrap/>
            <w:vAlign w:val="center"/>
            <w:hideMark/>
          </w:tcPr>
          <w:p w14:paraId="71073DDE" w14:textId="77777777" w:rsidR="00847F65" w:rsidRPr="005E2B4C" w:rsidRDefault="00847F65" w:rsidP="005E2B4C">
            <w:pPr>
              <w:jc w:val="center"/>
              <w:rPr>
                <w:i/>
                <w:color w:val="000000"/>
                <w:sz w:val="16"/>
                <w:szCs w:val="16"/>
              </w:rPr>
            </w:pPr>
            <w:r w:rsidRPr="005E2B4C">
              <w:rPr>
                <w:i/>
                <w:color w:val="000000"/>
                <w:sz w:val="16"/>
                <w:szCs w:val="16"/>
              </w:rPr>
              <w:t>370%</w:t>
            </w:r>
          </w:p>
        </w:tc>
        <w:tc>
          <w:tcPr>
            <w:tcW w:w="0" w:type="auto"/>
            <w:tcBorders>
              <w:top w:val="nil"/>
              <w:left w:val="nil"/>
              <w:bottom w:val="single" w:sz="4" w:space="0" w:color="auto"/>
              <w:right w:val="nil"/>
            </w:tcBorders>
            <w:shd w:val="clear" w:color="auto" w:fill="auto"/>
            <w:noWrap/>
            <w:vAlign w:val="center"/>
            <w:hideMark/>
          </w:tcPr>
          <w:p w14:paraId="3DDD586C" w14:textId="77777777" w:rsidR="00847F65" w:rsidRPr="005E2B4C" w:rsidRDefault="00847F65" w:rsidP="005E2B4C">
            <w:pPr>
              <w:jc w:val="center"/>
              <w:rPr>
                <w:i/>
                <w:color w:val="000000"/>
                <w:sz w:val="16"/>
                <w:szCs w:val="16"/>
              </w:rPr>
            </w:pPr>
            <w:r w:rsidRPr="005E2B4C">
              <w:rPr>
                <w:i/>
                <w:color w:val="000000"/>
                <w:sz w:val="16"/>
                <w:szCs w:val="16"/>
              </w:rPr>
              <w:t>279%</w:t>
            </w:r>
          </w:p>
        </w:tc>
        <w:tc>
          <w:tcPr>
            <w:tcW w:w="0" w:type="auto"/>
            <w:tcBorders>
              <w:top w:val="nil"/>
              <w:left w:val="nil"/>
              <w:bottom w:val="single" w:sz="4" w:space="0" w:color="auto"/>
              <w:right w:val="nil"/>
            </w:tcBorders>
            <w:shd w:val="clear" w:color="auto" w:fill="auto"/>
            <w:noWrap/>
            <w:vAlign w:val="center"/>
            <w:hideMark/>
          </w:tcPr>
          <w:p w14:paraId="6F95FAED" w14:textId="77777777" w:rsidR="00847F65" w:rsidRPr="005E2B4C" w:rsidRDefault="00847F65" w:rsidP="005E2B4C">
            <w:pPr>
              <w:jc w:val="center"/>
              <w:rPr>
                <w:i/>
                <w:color w:val="000000"/>
                <w:sz w:val="16"/>
                <w:szCs w:val="16"/>
              </w:rPr>
            </w:pPr>
            <w:r w:rsidRPr="005E2B4C">
              <w:rPr>
                <w:i/>
                <w:color w:val="000000"/>
                <w:sz w:val="16"/>
                <w:szCs w:val="16"/>
              </w:rPr>
              <w:t>281%</w:t>
            </w:r>
          </w:p>
        </w:tc>
        <w:tc>
          <w:tcPr>
            <w:tcW w:w="0" w:type="auto"/>
            <w:tcBorders>
              <w:top w:val="nil"/>
              <w:left w:val="single" w:sz="4" w:space="0" w:color="auto"/>
              <w:bottom w:val="single" w:sz="4" w:space="0" w:color="auto"/>
              <w:right w:val="nil"/>
            </w:tcBorders>
            <w:shd w:val="clear" w:color="auto" w:fill="auto"/>
            <w:noWrap/>
            <w:vAlign w:val="center"/>
            <w:hideMark/>
          </w:tcPr>
          <w:p w14:paraId="67C8522D" w14:textId="77777777" w:rsidR="00847F65" w:rsidRPr="005E2B4C" w:rsidRDefault="00847F65" w:rsidP="005E2B4C">
            <w:pPr>
              <w:jc w:val="center"/>
              <w:rPr>
                <w:i/>
                <w:color w:val="000000"/>
                <w:sz w:val="16"/>
                <w:szCs w:val="16"/>
              </w:rPr>
            </w:pPr>
            <w:r w:rsidRPr="005E2B4C">
              <w:rPr>
                <w:i/>
                <w:color w:val="000000"/>
                <w:sz w:val="16"/>
                <w:szCs w:val="16"/>
              </w:rPr>
              <w:t>415%</w:t>
            </w:r>
          </w:p>
        </w:tc>
        <w:tc>
          <w:tcPr>
            <w:tcW w:w="0" w:type="auto"/>
            <w:tcBorders>
              <w:top w:val="nil"/>
              <w:left w:val="nil"/>
              <w:bottom w:val="single" w:sz="4" w:space="0" w:color="auto"/>
              <w:right w:val="nil"/>
            </w:tcBorders>
            <w:shd w:val="clear" w:color="auto" w:fill="auto"/>
            <w:noWrap/>
            <w:vAlign w:val="center"/>
            <w:hideMark/>
          </w:tcPr>
          <w:p w14:paraId="0B0580C3" w14:textId="77777777" w:rsidR="00847F65" w:rsidRPr="005E2B4C" w:rsidRDefault="00847F65" w:rsidP="005E2B4C">
            <w:pPr>
              <w:jc w:val="center"/>
              <w:rPr>
                <w:i/>
                <w:color w:val="000000"/>
                <w:sz w:val="16"/>
                <w:szCs w:val="16"/>
              </w:rPr>
            </w:pPr>
            <w:r w:rsidRPr="005E2B4C">
              <w:rPr>
                <w:i/>
                <w:color w:val="000000"/>
                <w:sz w:val="16"/>
                <w:szCs w:val="16"/>
              </w:rPr>
              <w:t>425%</w:t>
            </w:r>
          </w:p>
        </w:tc>
        <w:tc>
          <w:tcPr>
            <w:tcW w:w="0" w:type="auto"/>
            <w:tcBorders>
              <w:top w:val="nil"/>
              <w:left w:val="nil"/>
              <w:bottom w:val="single" w:sz="4" w:space="0" w:color="auto"/>
              <w:right w:val="nil"/>
            </w:tcBorders>
            <w:shd w:val="clear" w:color="auto" w:fill="auto"/>
            <w:noWrap/>
            <w:vAlign w:val="center"/>
            <w:hideMark/>
          </w:tcPr>
          <w:p w14:paraId="6D296858" w14:textId="77777777" w:rsidR="00847F65" w:rsidRPr="005E2B4C" w:rsidRDefault="00847F65" w:rsidP="005E2B4C">
            <w:pPr>
              <w:jc w:val="center"/>
              <w:rPr>
                <w:i/>
                <w:color w:val="000000"/>
                <w:sz w:val="16"/>
                <w:szCs w:val="16"/>
              </w:rPr>
            </w:pPr>
            <w:r w:rsidRPr="005E2B4C">
              <w:rPr>
                <w:i/>
                <w:color w:val="000000"/>
                <w:sz w:val="16"/>
                <w:szCs w:val="16"/>
              </w:rPr>
              <w:t>329%</w:t>
            </w:r>
          </w:p>
        </w:tc>
        <w:tc>
          <w:tcPr>
            <w:tcW w:w="0" w:type="auto"/>
            <w:tcBorders>
              <w:top w:val="nil"/>
              <w:left w:val="nil"/>
              <w:bottom w:val="single" w:sz="4" w:space="0" w:color="auto"/>
              <w:right w:val="nil"/>
            </w:tcBorders>
            <w:shd w:val="clear" w:color="auto" w:fill="auto"/>
            <w:noWrap/>
            <w:vAlign w:val="center"/>
            <w:hideMark/>
          </w:tcPr>
          <w:p w14:paraId="6894D7F3" w14:textId="77777777" w:rsidR="00847F65" w:rsidRPr="005E2B4C" w:rsidRDefault="00847F65" w:rsidP="005E2B4C">
            <w:pPr>
              <w:jc w:val="center"/>
              <w:rPr>
                <w:i/>
                <w:color w:val="000000"/>
                <w:sz w:val="16"/>
                <w:szCs w:val="16"/>
              </w:rPr>
            </w:pPr>
            <w:r w:rsidRPr="005E2B4C">
              <w:rPr>
                <w:i/>
                <w:color w:val="000000"/>
                <w:sz w:val="16"/>
                <w:szCs w:val="16"/>
              </w:rPr>
              <w:t>329%</w:t>
            </w:r>
          </w:p>
        </w:tc>
      </w:tr>
    </w:tbl>
    <w:p w14:paraId="3894E64F" w14:textId="77777777" w:rsidR="00090E3A" w:rsidRDefault="00090E3A"/>
    <w:p w14:paraId="43542729" w14:textId="77777777" w:rsidR="00090E3A" w:rsidRDefault="00090E3A"/>
    <w:p w14:paraId="0E6F2E28" w14:textId="77777777" w:rsidR="00090E3A" w:rsidRDefault="00090E3A"/>
    <w:p w14:paraId="5A4A7B56" w14:textId="77777777" w:rsidR="00090E3A" w:rsidRDefault="00090E3A"/>
    <w:p w14:paraId="766A8508" w14:textId="77777777" w:rsidR="00090E3A" w:rsidRDefault="00090E3A"/>
    <w:tbl>
      <w:tblPr>
        <w:tblW w:w="5000" w:type="pct"/>
        <w:tblLook w:val="04A0" w:firstRow="1" w:lastRow="0" w:firstColumn="1" w:lastColumn="0" w:noHBand="0" w:noVBand="1"/>
      </w:tblPr>
      <w:tblGrid>
        <w:gridCol w:w="1924"/>
        <w:gridCol w:w="1005"/>
        <w:gridCol w:w="1005"/>
        <w:gridCol w:w="1005"/>
        <w:gridCol w:w="1006"/>
        <w:gridCol w:w="1006"/>
        <w:gridCol w:w="1006"/>
        <w:gridCol w:w="1006"/>
        <w:gridCol w:w="1002"/>
      </w:tblGrid>
      <w:tr w:rsidR="00847F65" w:rsidRPr="00090E3A" w14:paraId="0390E838" w14:textId="77777777" w:rsidTr="00EF3882">
        <w:trPr>
          <w:trHeight w:val="300"/>
        </w:trPr>
        <w:tc>
          <w:tcPr>
            <w:tcW w:w="965" w:type="pct"/>
            <w:tcBorders>
              <w:top w:val="single" w:sz="4" w:space="0" w:color="auto"/>
              <w:left w:val="nil"/>
              <w:bottom w:val="nil"/>
              <w:right w:val="nil"/>
            </w:tcBorders>
            <w:shd w:val="clear" w:color="auto" w:fill="auto"/>
            <w:noWrap/>
            <w:vAlign w:val="center"/>
            <w:hideMark/>
          </w:tcPr>
          <w:p w14:paraId="6F7E683C" w14:textId="77777777" w:rsidR="00847F65" w:rsidRPr="00090E3A" w:rsidRDefault="00847F65" w:rsidP="00090E3A">
            <w:pPr>
              <w:jc w:val="center"/>
              <w:rPr>
                <w:i/>
                <w:color w:val="000000"/>
                <w:sz w:val="18"/>
                <w:szCs w:val="18"/>
              </w:rPr>
            </w:pPr>
            <m:oMathPara>
              <m:oMath>
                <m:r>
                  <w:rPr>
                    <w:rFonts w:ascii="Cambria Math" w:hAnsi="Cambria Math"/>
                    <w:color w:val="000000"/>
                    <w:sz w:val="18"/>
                    <w:szCs w:val="18"/>
                  </w:rPr>
                  <m:t xml:space="preserve">∆ </m:t>
                </m:r>
                <m:sSub>
                  <m:sSubPr>
                    <m:ctrlPr>
                      <w:rPr>
                        <w:rFonts w:ascii="Cambria Math" w:hAnsi="Cambria Math"/>
                        <w:i/>
                        <w:color w:val="000000"/>
                        <w:sz w:val="18"/>
                        <w:szCs w:val="18"/>
                      </w:rPr>
                    </m:ctrlPr>
                  </m:sSubPr>
                  <m:e>
                    <m:r>
                      <w:rPr>
                        <w:rFonts w:ascii="Cambria Math" w:hAnsi="Cambria Math"/>
                        <w:color w:val="000000"/>
                        <w:sz w:val="18"/>
                        <w:szCs w:val="18"/>
                      </w:rPr>
                      <m:t>port cont</m:t>
                    </m:r>
                  </m:e>
                  <m:sub>
                    <m:r>
                      <w:rPr>
                        <w:rFonts w:ascii="Cambria Math" w:hAnsi="Cambria Math"/>
                        <w:color w:val="000000"/>
                        <w:sz w:val="18"/>
                        <w:szCs w:val="18"/>
                      </w:rPr>
                      <m:t>ij,t</m:t>
                    </m:r>
                  </m:sub>
                </m:sSub>
              </m:oMath>
            </m:oMathPara>
          </w:p>
        </w:tc>
        <w:tc>
          <w:tcPr>
            <w:tcW w:w="504" w:type="pct"/>
            <w:tcBorders>
              <w:top w:val="single" w:sz="4" w:space="0" w:color="auto"/>
              <w:left w:val="nil"/>
              <w:bottom w:val="nil"/>
              <w:right w:val="nil"/>
            </w:tcBorders>
            <w:shd w:val="clear" w:color="auto" w:fill="auto"/>
            <w:noWrap/>
            <w:vAlign w:val="center"/>
            <w:hideMark/>
          </w:tcPr>
          <w:p w14:paraId="5F71A807" w14:textId="77777777" w:rsidR="00847F65" w:rsidRPr="00090E3A" w:rsidRDefault="00847F65" w:rsidP="00090E3A">
            <w:pPr>
              <w:jc w:val="center"/>
              <w:rPr>
                <w:color w:val="000000"/>
                <w:sz w:val="18"/>
                <w:szCs w:val="18"/>
              </w:rPr>
            </w:pPr>
            <w:r w:rsidRPr="00090E3A">
              <w:rPr>
                <w:color w:val="000000"/>
                <w:sz w:val="18"/>
                <w:szCs w:val="18"/>
              </w:rPr>
              <w:t>0.754***</w:t>
            </w:r>
          </w:p>
        </w:tc>
        <w:tc>
          <w:tcPr>
            <w:tcW w:w="504" w:type="pct"/>
            <w:tcBorders>
              <w:top w:val="single" w:sz="4" w:space="0" w:color="auto"/>
              <w:left w:val="nil"/>
              <w:bottom w:val="nil"/>
              <w:right w:val="nil"/>
            </w:tcBorders>
            <w:shd w:val="clear" w:color="auto" w:fill="auto"/>
            <w:noWrap/>
            <w:vAlign w:val="center"/>
            <w:hideMark/>
          </w:tcPr>
          <w:p w14:paraId="2647F37B" w14:textId="77777777" w:rsidR="00847F65" w:rsidRPr="00090E3A" w:rsidRDefault="00847F65" w:rsidP="00090E3A">
            <w:pPr>
              <w:jc w:val="center"/>
              <w:rPr>
                <w:color w:val="000000"/>
                <w:sz w:val="18"/>
                <w:szCs w:val="18"/>
              </w:rPr>
            </w:pPr>
            <w:r w:rsidRPr="00090E3A">
              <w:rPr>
                <w:color w:val="000000"/>
                <w:sz w:val="18"/>
                <w:szCs w:val="18"/>
              </w:rPr>
              <w:t>0.805***</w:t>
            </w:r>
          </w:p>
        </w:tc>
        <w:tc>
          <w:tcPr>
            <w:tcW w:w="504" w:type="pct"/>
            <w:tcBorders>
              <w:top w:val="single" w:sz="4" w:space="0" w:color="auto"/>
              <w:left w:val="nil"/>
              <w:bottom w:val="nil"/>
              <w:right w:val="nil"/>
            </w:tcBorders>
            <w:shd w:val="clear" w:color="auto" w:fill="auto"/>
            <w:noWrap/>
            <w:vAlign w:val="center"/>
            <w:hideMark/>
          </w:tcPr>
          <w:p w14:paraId="31546E7B" w14:textId="77777777" w:rsidR="00847F65" w:rsidRPr="00090E3A" w:rsidRDefault="00847F65" w:rsidP="00090E3A">
            <w:pPr>
              <w:jc w:val="center"/>
              <w:rPr>
                <w:color w:val="000000"/>
                <w:sz w:val="18"/>
                <w:szCs w:val="18"/>
              </w:rPr>
            </w:pPr>
            <w:r w:rsidRPr="00090E3A">
              <w:rPr>
                <w:color w:val="000000"/>
                <w:sz w:val="18"/>
                <w:szCs w:val="18"/>
              </w:rPr>
              <w:t>0.701***</w:t>
            </w:r>
          </w:p>
        </w:tc>
        <w:tc>
          <w:tcPr>
            <w:tcW w:w="505" w:type="pct"/>
            <w:tcBorders>
              <w:top w:val="single" w:sz="4" w:space="0" w:color="auto"/>
              <w:left w:val="nil"/>
              <w:bottom w:val="nil"/>
              <w:right w:val="nil"/>
            </w:tcBorders>
            <w:shd w:val="clear" w:color="auto" w:fill="auto"/>
            <w:noWrap/>
            <w:vAlign w:val="center"/>
            <w:hideMark/>
          </w:tcPr>
          <w:p w14:paraId="0F1F3263" w14:textId="77777777" w:rsidR="00847F65" w:rsidRPr="00090E3A" w:rsidRDefault="00847F65" w:rsidP="00090E3A">
            <w:pPr>
              <w:jc w:val="center"/>
              <w:rPr>
                <w:color w:val="000000"/>
                <w:sz w:val="18"/>
                <w:szCs w:val="18"/>
              </w:rPr>
            </w:pPr>
            <w:r w:rsidRPr="00090E3A">
              <w:rPr>
                <w:color w:val="000000"/>
                <w:sz w:val="18"/>
                <w:szCs w:val="18"/>
              </w:rPr>
              <w:t>0.738***</w:t>
            </w:r>
          </w:p>
        </w:tc>
        <w:tc>
          <w:tcPr>
            <w:tcW w:w="505" w:type="pct"/>
            <w:tcBorders>
              <w:top w:val="single" w:sz="4" w:space="0" w:color="auto"/>
              <w:left w:val="single" w:sz="4" w:space="0" w:color="auto"/>
              <w:bottom w:val="nil"/>
              <w:right w:val="nil"/>
            </w:tcBorders>
            <w:shd w:val="clear" w:color="auto" w:fill="auto"/>
            <w:noWrap/>
            <w:vAlign w:val="center"/>
            <w:hideMark/>
          </w:tcPr>
          <w:p w14:paraId="3ADCC14E" w14:textId="77777777" w:rsidR="00847F65" w:rsidRPr="00090E3A" w:rsidRDefault="00847F65" w:rsidP="00090E3A">
            <w:pPr>
              <w:jc w:val="center"/>
              <w:rPr>
                <w:color w:val="000000"/>
                <w:sz w:val="18"/>
                <w:szCs w:val="18"/>
              </w:rPr>
            </w:pPr>
            <w:r w:rsidRPr="00090E3A">
              <w:rPr>
                <w:color w:val="000000"/>
                <w:sz w:val="18"/>
                <w:szCs w:val="18"/>
              </w:rPr>
              <w:t>0.839***</w:t>
            </w:r>
          </w:p>
        </w:tc>
        <w:tc>
          <w:tcPr>
            <w:tcW w:w="505" w:type="pct"/>
            <w:tcBorders>
              <w:top w:val="single" w:sz="4" w:space="0" w:color="auto"/>
              <w:left w:val="nil"/>
              <w:bottom w:val="nil"/>
              <w:right w:val="nil"/>
            </w:tcBorders>
            <w:shd w:val="clear" w:color="auto" w:fill="auto"/>
            <w:noWrap/>
            <w:vAlign w:val="center"/>
            <w:hideMark/>
          </w:tcPr>
          <w:p w14:paraId="41F08FCC" w14:textId="77777777" w:rsidR="00847F65" w:rsidRPr="00090E3A" w:rsidRDefault="00847F65" w:rsidP="00090E3A">
            <w:pPr>
              <w:jc w:val="center"/>
              <w:rPr>
                <w:color w:val="000000"/>
                <w:sz w:val="18"/>
                <w:szCs w:val="18"/>
              </w:rPr>
            </w:pPr>
            <w:r w:rsidRPr="00090E3A">
              <w:rPr>
                <w:color w:val="000000"/>
                <w:sz w:val="18"/>
                <w:szCs w:val="18"/>
              </w:rPr>
              <w:t>0.888***</w:t>
            </w:r>
          </w:p>
        </w:tc>
        <w:tc>
          <w:tcPr>
            <w:tcW w:w="505" w:type="pct"/>
            <w:tcBorders>
              <w:top w:val="single" w:sz="4" w:space="0" w:color="auto"/>
              <w:left w:val="nil"/>
              <w:bottom w:val="nil"/>
              <w:right w:val="nil"/>
            </w:tcBorders>
            <w:shd w:val="clear" w:color="auto" w:fill="auto"/>
            <w:noWrap/>
            <w:vAlign w:val="center"/>
            <w:hideMark/>
          </w:tcPr>
          <w:p w14:paraId="44C9635F" w14:textId="77777777" w:rsidR="00847F65" w:rsidRPr="00090E3A" w:rsidRDefault="00847F65" w:rsidP="00090E3A">
            <w:pPr>
              <w:jc w:val="center"/>
              <w:rPr>
                <w:color w:val="000000"/>
                <w:sz w:val="18"/>
                <w:szCs w:val="18"/>
              </w:rPr>
            </w:pPr>
            <w:r w:rsidRPr="00090E3A">
              <w:rPr>
                <w:color w:val="000000"/>
                <w:sz w:val="18"/>
                <w:szCs w:val="18"/>
              </w:rPr>
              <w:t>0.779***</w:t>
            </w:r>
          </w:p>
        </w:tc>
        <w:tc>
          <w:tcPr>
            <w:tcW w:w="503" w:type="pct"/>
            <w:tcBorders>
              <w:top w:val="single" w:sz="4" w:space="0" w:color="auto"/>
              <w:left w:val="nil"/>
              <w:bottom w:val="nil"/>
              <w:right w:val="nil"/>
            </w:tcBorders>
            <w:shd w:val="clear" w:color="auto" w:fill="auto"/>
            <w:noWrap/>
            <w:vAlign w:val="center"/>
            <w:hideMark/>
          </w:tcPr>
          <w:p w14:paraId="7CF5FA51" w14:textId="77777777" w:rsidR="00847F65" w:rsidRPr="00090E3A" w:rsidRDefault="00847F65" w:rsidP="00090E3A">
            <w:pPr>
              <w:jc w:val="center"/>
              <w:rPr>
                <w:color w:val="000000"/>
                <w:sz w:val="18"/>
                <w:szCs w:val="18"/>
              </w:rPr>
            </w:pPr>
            <w:r w:rsidRPr="00090E3A">
              <w:rPr>
                <w:color w:val="000000"/>
                <w:sz w:val="18"/>
                <w:szCs w:val="18"/>
              </w:rPr>
              <w:t>0.815***</w:t>
            </w:r>
          </w:p>
        </w:tc>
      </w:tr>
      <w:tr w:rsidR="00847F65" w:rsidRPr="00090E3A" w14:paraId="6D056C63" w14:textId="77777777" w:rsidTr="00EF3882">
        <w:trPr>
          <w:trHeight w:val="300"/>
        </w:trPr>
        <w:tc>
          <w:tcPr>
            <w:tcW w:w="965" w:type="pct"/>
            <w:tcBorders>
              <w:top w:val="nil"/>
              <w:left w:val="nil"/>
              <w:bottom w:val="nil"/>
              <w:right w:val="nil"/>
            </w:tcBorders>
            <w:shd w:val="clear" w:color="auto" w:fill="auto"/>
            <w:noWrap/>
            <w:vAlign w:val="center"/>
            <w:hideMark/>
          </w:tcPr>
          <w:p w14:paraId="69296A4F" w14:textId="294C3C27" w:rsidR="00847F65" w:rsidRPr="00090E3A" w:rsidRDefault="001521FE" w:rsidP="00090E3A">
            <w:pPr>
              <w:jc w:val="center"/>
              <w:rPr>
                <w:i/>
                <w:color w:val="000000"/>
                <w:sz w:val="18"/>
                <w:szCs w:val="18"/>
              </w:rPr>
            </w:pPr>
            <w:r>
              <w:rPr>
                <w:i/>
                <w:noProof/>
                <w:color w:val="000000"/>
                <w:sz w:val="18"/>
                <w:szCs w:val="18"/>
              </w:rPr>
              <mc:AlternateContent>
                <mc:Choice Requires="wps">
                  <w:drawing>
                    <wp:anchor distT="0" distB="0" distL="114300" distR="114300" simplePos="0" relativeHeight="251663360" behindDoc="0" locked="0" layoutInCell="1" allowOverlap="1" wp14:anchorId="47EA44F3" wp14:editId="498909DD">
                      <wp:simplePos x="0" y="0"/>
                      <wp:positionH relativeFrom="column">
                        <wp:posOffset>-333375</wp:posOffset>
                      </wp:positionH>
                      <wp:positionV relativeFrom="paragraph">
                        <wp:posOffset>22225</wp:posOffset>
                      </wp:positionV>
                      <wp:extent cx="342900" cy="3200400"/>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32004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26EF0C6B" w14:textId="77777777" w:rsidR="00847F65" w:rsidRPr="00F44603" w:rsidRDefault="00847F65" w:rsidP="00847F65">
                                  <w:pPr>
                                    <w:jc w:val="center"/>
                                    <w:rPr>
                                      <w:sz w:val="32"/>
                                    </w:rPr>
                                  </w:pPr>
                                  <w:r>
                                    <w:rPr>
                                      <w:sz w:val="28"/>
                                    </w:rPr>
                                    <w:t>Panel B: Port</w:t>
                                  </w:r>
                                  <w:r w:rsidRPr="00F44603">
                                    <w:rPr>
                                      <w:sz w:val="28"/>
                                    </w:rPr>
                                    <w:t xml:space="preserve"> Containerization</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29" type="#_x0000_t202" style="position:absolute;left:0;text-align:left;margin-left:-26.2pt;margin-top:1.75pt;width:27pt;height:2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" filled="f" stroked="f">
                      <v:path arrowok="t"/>
                      <v:textbox style="layout-flow:vertical;mso-layout-flow-alt:bottom-to-top">
                        <w:txbxContent>
                          <w:p w14:paraId="26EF0C6B" w14:textId="77777777" w:rsidR="00847F65" w:rsidRPr="00F44603" w:rsidRDefault="00847F65" w:rsidP="00847F65">
                            <w:pPr>
                              <w:jc w:val="center"/>
                              <w:rPr>
                                <w:sz w:val="32"/>
                              </w:rPr>
                            </w:pPr>
                            <w:r>
                              <w:rPr>
                                <w:sz w:val="28"/>
                              </w:rPr>
                              <w:t>Panel B: Port</w:t>
                            </w:r>
                            <w:r w:rsidRPr="00F44603">
                              <w:rPr>
                                <w:sz w:val="28"/>
                              </w:rPr>
                              <w:t xml:space="preserve"> Containerization</w:t>
                            </w:r>
                          </w:p>
                        </w:txbxContent>
                      </v:textbox>
                    </v:shape>
                  </w:pict>
                </mc:Fallback>
              </mc:AlternateContent>
            </w:r>
          </w:p>
        </w:tc>
        <w:tc>
          <w:tcPr>
            <w:tcW w:w="504" w:type="pct"/>
            <w:tcBorders>
              <w:top w:val="nil"/>
              <w:left w:val="nil"/>
              <w:bottom w:val="nil"/>
              <w:right w:val="nil"/>
            </w:tcBorders>
            <w:shd w:val="clear" w:color="auto" w:fill="auto"/>
            <w:noWrap/>
            <w:vAlign w:val="center"/>
            <w:hideMark/>
          </w:tcPr>
          <w:p w14:paraId="74E03ADA" w14:textId="77777777" w:rsidR="00847F65" w:rsidRPr="00090E3A" w:rsidRDefault="00847F65" w:rsidP="00090E3A">
            <w:pPr>
              <w:jc w:val="center"/>
              <w:rPr>
                <w:color w:val="000000"/>
                <w:sz w:val="18"/>
                <w:szCs w:val="18"/>
              </w:rPr>
            </w:pPr>
            <w:r w:rsidRPr="00090E3A">
              <w:rPr>
                <w:color w:val="000000"/>
                <w:sz w:val="18"/>
                <w:szCs w:val="18"/>
              </w:rPr>
              <w:t>(0.0130)</w:t>
            </w:r>
          </w:p>
        </w:tc>
        <w:tc>
          <w:tcPr>
            <w:tcW w:w="504" w:type="pct"/>
            <w:tcBorders>
              <w:top w:val="nil"/>
              <w:left w:val="nil"/>
              <w:bottom w:val="nil"/>
              <w:right w:val="nil"/>
            </w:tcBorders>
            <w:shd w:val="clear" w:color="auto" w:fill="auto"/>
            <w:noWrap/>
            <w:vAlign w:val="center"/>
            <w:hideMark/>
          </w:tcPr>
          <w:p w14:paraId="593EBB73" w14:textId="77777777" w:rsidR="00847F65" w:rsidRPr="00090E3A" w:rsidRDefault="00847F65" w:rsidP="00090E3A">
            <w:pPr>
              <w:jc w:val="center"/>
              <w:rPr>
                <w:color w:val="000000"/>
                <w:sz w:val="18"/>
                <w:szCs w:val="18"/>
              </w:rPr>
            </w:pPr>
            <w:r w:rsidRPr="00090E3A">
              <w:rPr>
                <w:color w:val="000000"/>
                <w:sz w:val="18"/>
                <w:szCs w:val="18"/>
              </w:rPr>
              <w:t>(0.0117)</w:t>
            </w:r>
          </w:p>
        </w:tc>
        <w:tc>
          <w:tcPr>
            <w:tcW w:w="504" w:type="pct"/>
            <w:tcBorders>
              <w:top w:val="nil"/>
              <w:left w:val="nil"/>
              <w:bottom w:val="nil"/>
              <w:right w:val="nil"/>
            </w:tcBorders>
            <w:shd w:val="clear" w:color="auto" w:fill="auto"/>
            <w:noWrap/>
            <w:vAlign w:val="center"/>
            <w:hideMark/>
          </w:tcPr>
          <w:p w14:paraId="56AA072A" w14:textId="77777777" w:rsidR="00847F65" w:rsidRPr="00090E3A" w:rsidRDefault="00847F65" w:rsidP="00090E3A">
            <w:pPr>
              <w:jc w:val="center"/>
              <w:rPr>
                <w:color w:val="000000"/>
                <w:sz w:val="18"/>
                <w:szCs w:val="18"/>
              </w:rPr>
            </w:pPr>
            <w:r w:rsidRPr="00090E3A">
              <w:rPr>
                <w:color w:val="000000"/>
                <w:sz w:val="18"/>
                <w:szCs w:val="18"/>
              </w:rPr>
              <w:t>(0.0153)</w:t>
            </w:r>
          </w:p>
        </w:tc>
        <w:tc>
          <w:tcPr>
            <w:tcW w:w="505" w:type="pct"/>
            <w:tcBorders>
              <w:top w:val="nil"/>
              <w:left w:val="nil"/>
              <w:bottom w:val="nil"/>
              <w:right w:val="nil"/>
            </w:tcBorders>
            <w:shd w:val="clear" w:color="auto" w:fill="auto"/>
            <w:noWrap/>
            <w:vAlign w:val="center"/>
            <w:hideMark/>
          </w:tcPr>
          <w:p w14:paraId="53E1AEAC" w14:textId="77777777" w:rsidR="00847F65" w:rsidRPr="00090E3A" w:rsidRDefault="00847F65" w:rsidP="00090E3A">
            <w:pPr>
              <w:jc w:val="center"/>
              <w:rPr>
                <w:color w:val="000000"/>
                <w:sz w:val="18"/>
                <w:szCs w:val="18"/>
              </w:rPr>
            </w:pPr>
            <w:r w:rsidRPr="00090E3A">
              <w:rPr>
                <w:color w:val="000000"/>
                <w:sz w:val="18"/>
                <w:szCs w:val="18"/>
              </w:rPr>
              <w:t>(0.0139)</w:t>
            </w:r>
          </w:p>
        </w:tc>
        <w:tc>
          <w:tcPr>
            <w:tcW w:w="505" w:type="pct"/>
            <w:tcBorders>
              <w:top w:val="nil"/>
              <w:left w:val="single" w:sz="4" w:space="0" w:color="auto"/>
              <w:bottom w:val="nil"/>
              <w:right w:val="nil"/>
            </w:tcBorders>
            <w:shd w:val="clear" w:color="auto" w:fill="auto"/>
            <w:noWrap/>
            <w:vAlign w:val="center"/>
            <w:hideMark/>
          </w:tcPr>
          <w:p w14:paraId="13F6E337" w14:textId="77777777" w:rsidR="00847F65" w:rsidRPr="00090E3A" w:rsidRDefault="00847F65" w:rsidP="00090E3A">
            <w:pPr>
              <w:jc w:val="center"/>
              <w:rPr>
                <w:color w:val="000000"/>
                <w:sz w:val="18"/>
                <w:szCs w:val="18"/>
              </w:rPr>
            </w:pPr>
            <w:r w:rsidRPr="00090E3A">
              <w:rPr>
                <w:color w:val="000000"/>
                <w:sz w:val="18"/>
                <w:szCs w:val="18"/>
              </w:rPr>
              <w:t>(0.0138)</w:t>
            </w:r>
          </w:p>
        </w:tc>
        <w:tc>
          <w:tcPr>
            <w:tcW w:w="505" w:type="pct"/>
            <w:tcBorders>
              <w:top w:val="nil"/>
              <w:left w:val="nil"/>
              <w:bottom w:val="nil"/>
              <w:right w:val="nil"/>
            </w:tcBorders>
            <w:shd w:val="clear" w:color="auto" w:fill="auto"/>
            <w:noWrap/>
            <w:vAlign w:val="center"/>
            <w:hideMark/>
          </w:tcPr>
          <w:p w14:paraId="01776996" w14:textId="77777777" w:rsidR="00847F65" w:rsidRPr="00090E3A" w:rsidRDefault="00847F65" w:rsidP="00090E3A">
            <w:pPr>
              <w:jc w:val="center"/>
              <w:rPr>
                <w:color w:val="000000"/>
                <w:sz w:val="18"/>
                <w:szCs w:val="18"/>
              </w:rPr>
            </w:pPr>
            <w:r w:rsidRPr="00090E3A">
              <w:rPr>
                <w:color w:val="000000"/>
                <w:sz w:val="18"/>
                <w:szCs w:val="18"/>
              </w:rPr>
              <w:t>(0.0124)</w:t>
            </w:r>
          </w:p>
        </w:tc>
        <w:tc>
          <w:tcPr>
            <w:tcW w:w="505" w:type="pct"/>
            <w:tcBorders>
              <w:top w:val="nil"/>
              <w:left w:val="nil"/>
              <w:bottom w:val="nil"/>
              <w:right w:val="nil"/>
            </w:tcBorders>
            <w:shd w:val="clear" w:color="auto" w:fill="auto"/>
            <w:noWrap/>
            <w:vAlign w:val="center"/>
            <w:hideMark/>
          </w:tcPr>
          <w:p w14:paraId="5D1A403C" w14:textId="77777777" w:rsidR="00847F65" w:rsidRPr="00090E3A" w:rsidRDefault="00847F65" w:rsidP="00090E3A">
            <w:pPr>
              <w:jc w:val="center"/>
              <w:rPr>
                <w:color w:val="000000"/>
                <w:sz w:val="18"/>
                <w:szCs w:val="18"/>
              </w:rPr>
            </w:pPr>
            <w:r w:rsidRPr="00090E3A">
              <w:rPr>
                <w:color w:val="000000"/>
                <w:sz w:val="18"/>
                <w:szCs w:val="18"/>
              </w:rPr>
              <w:t>(0.0164)</w:t>
            </w:r>
          </w:p>
        </w:tc>
        <w:tc>
          <w:tcPr>
            <w:tcW w:w="503" w:type="pct"/>
            <w:tcBorders>
              <w:top w:val="nil"/>
              <w:left w:val="nil"/>
              <w:bottom w:val="nil"/>
              <w:right w:val="nil"/>
            </w:tcBorders>
            <w:shd w:val="clear" w:color="auto" w:fill="auto"/>
            <w:noWrap/>
            <w:vAlign w:val="center"/>
            <w:hideMark/>
          </w:tcPr>
          <w:p w14:paraId="531F2619" w14:textId="77777777" w:rsidR="00847F65" w:rsidRPr="00090E3A" w:rsidRDefault="00847F65" w:rsidP="00090E3A">
            <w:pPr>
              <w:jc w:val="center"/>
              <w:rPr>
                <w:color w:val="000000"/>
                <w:sz w:val="18"/>
                <w:szCs w:val="18"/>
              </w:rPr>
            </w:pPr>
            <w:r w:rsidRPr="00090E3A">
              <w:rPr>
                <w:color w:val="000000"/>
                <w:sz w:val="18"/>
                <w:szCs w:val="18"/>
              </w:rPr>
              <w:t>(0.0149)</w:t>
            </w:r>
          </w:p>
        </w:tc>
      </w:tr>
      <w:tr w:rsidR="00847F65" w:rsidRPr="00090E3A" w14:paraId="4AADCCE1" w14:textId="77777777" w:rsidTr="00EF3882">
        <w:trPr>
          <w:trHeight w:val="300"/>
        </w:trPr>
        <w:tc>
          <w:tcPr>
            <w:tcW w:w="965" w:type="pct"/>
            <w:tcBorders>
              <w:top w:val="nil"/>
              <w:left w:val="nil"/>
              <w:bottom w:val="nil"/>
              <w:right w:val="nil"/>
            </w:tcBorders>
            <w:shd w:val="clear" w:color="auto" w:fill="auto"/>
            <w:noWrap/>
            <w:vAlign w:val="center"/>
            <w:hideMark/>
          </w:tcPr>
          <w:p w14:paraId="041C13F8" w14:textId="77777777" w:rsidR="00847F65" w:rsidRPr="00090E3A" w:rsidRDefault="00847F65" w:rsidP="00090E3A">
            <w:pPr>
              <w:jc w:val="center"/>
              <w:rPr>
                <w:i/>
                <w:color w:val="000000"/>
                <w:sz w:val="18"/>
                <w:szCs w:val="18"/>
              </w:rPr>
            </w:pPr>
            <m:oMathPara>
              <m:oMath>
                <m:r>
                  <w:rPr>
                    <w:rFonts w:ascii="Cambria Math" w:hAnsi="Cambria Math"/>
                    <w:color w:val="000000"/>
                    <w:sz w:val="18"/>
                    <w:szCs w:val="18"/>
                  </w:rPr>
                  <m:t xml:space="preserve">∆ </m:t>
                </m:r>
                <m:sSub>
                  <m:sSubPr>
                    <m:ctrlPr>
                      <w:rPr>
                        <w:rFonts w:ascii="Cambria Math" w:hAnsi="Cambria Math"/>
                        <w:i/>
                        <w:color w:val="000000"/>
                        <w:sz w:val="18"/>
                        <w:szCs w:val="18"/>
                      </w:rPr>
                    </m:ctrlPr>
                  </m:sSubPr>
                  <m:e>
                    <m:r>
                      <w:rPr>
                        <w:rFonts w:ascii="Cambria Math" w:hAnsi="Cambria Math"/>
                        <w:color w:val="000000"/>
                        <w:sz w:val="18"/>
                        <w:szCs w:val="18"/>
                      </w:rPr>
                      <m:t>port cont</m:t>
                    </m:r>
                  </m:e>
                  <m:sub>
                    <m:r>
                      <w:rPr>
                        <w:rFonts w:ascii="Cambria Math" w:hAnsi="Cambria Math"/>
                        <w:color w:val="000000"/>
                        <w:sz w:val="18"/>
                        <w:szCs w:val="18"/>
                      </w:rPr>
                      <m:t>ij,t-1</m:t>
                    </m:r>
                  </m:sub>
                </m:sSub>
              </m:oMath>
            </m:oMathPara>
          </w:p>
        </w:tc>
        <w:tc>
          <w:tcPr>
            <w:tcW w:w="504" w:type="pct"/>
            <w:tcBorders>
              <w:top w:val="nil"/>
              <w:left w:val="nil"/>
              <w:bottom w:val="nil"/>
              <w:right w:val="nil"/>
            </w:tcBorders>
            <w:shd w:val="clear" w:color="auto" w:fill="auto"/>
            <w:noWrap/>
            <w:vAlign w:val="center"/>
            <w:hideMark/>
          </w:tcPr>
          <w:p w14:paraId="4436CA44" w14:textId="77777777" w:rsidR="00847F65" w:rsidRPr="00090E3A" w:rsidRDefault="00847F65" w:rsidP="00090E3A">
            <w:pPr>
              <w:jc w:val="center"/>
              <w:rPr>
                <w:color w:val="000000"/>
                <w:sz w:val="18"/>
                <w:szCs w:val="18"/>
              </w:rPr>
            </w:pPr>
            <w:r w:rsidRPr="00090E3A">
              <w:rPr>
                <w:color w:val="000000"/>
                <w:sz w:val="18"/>
                <w:szCs w:val="18"/>
              </w:rPr>
              <w:t>0.274***</w:t>
            </w:r>
          </w:p>
        </w:tc>
        <w:tc>
          <w:tcPr>
            <w:tcW w:w="504" w:type="pct"/>
            <w:tcBorders>
              <w:top w:val="nil"/>
              <w:left w:val="nil"/>
              <w:bottom w:val="nil"/>
              <w:right w:val="nil"/>
            </w:tcBorders>
            <w:shd w:val="clear" w:color="auto" w:fill="auto"/>
            <w:noWrap/>
            <w:vAlign w:val="center"/>
            <w:hideMark/>
          </w:tcPr>
          <w:p w14:paraId="04FA5CE3" w14:textId="77777777" w:rsidR="00847F65" w:rsidRPr="00090E3A" w:rsidRDefault="00847F65" w:rsidP="00090E3A">
            <w:pPr>
              <w:jc w:val="center"/>
              <w:rPr>
                <w:color w:val="000000"/>
                <w:sz w:val="18"/>
                <w:szCs w:val="18"/>
              </w:rPr>
            </w:pPr>
            <w:r w:rsidRPr="00090E3A">
              <w:rPr>
                <w:color w:val="000000"/>
                <w:sz w:val="18"/>
                <w:szCs w:val="18"/>
              </w:rPr>
              <w:t>0.275***</w:t>
            </w:r>
          </w:p>
        </w:tc>
        <w:tc>
          <w:tcPr>
            <w:tcW w:w="504" w:type="pct"/>
            <w:tcBorders>
              <w:top w:val="nil"/>
              <w:left w:val="nil"/>
              <w:bottom w:val="nil"/>
              <w:right w:val="nil"/>
            </w:tcBorders>
            <w:shd w:val="clear" w:color="auto" w:fill="auto"/>
            <w:noWrap/>
            <w:vAlign w:val="center"/>
            <w:hideMark/>
          </w:tcPr>
          <w:p w14:paraId="13CA1D33" w14:textId="77777777" w:rsidR="00847F65" w:rsidRPr="00090E3A" w:rsidRDefault="00847F65" w:rsidP="00090E3A">
            <w:pPr>
              <w:jc w:val="center"/>
              <w:rPr>
                <w:color w:val="000000"/>
                <w:sz w:val="18"/>
                <w:szCs w:val="18"/>
              </w:rPr>
            </w:pPr>
            <w:r w:rsidRPr="00090E3A">
              <w:rPr>
                <w:color w:val="000000"/>
                <w:sz w:val="18"/>
                <w:szCs w:val="18"/>
              </w:rPr>
              <w:t>0.159***</w:t>
            </w:r>
          </w:p>
        </w:tc>
        <w:tc>
          <w:tcPr>
            <w:tcW w:w="505" w:type="pct"/>
            <w:tcBorders>
              <w:top w:val="nil"/>
              <w:left w:val="nil"/>
              <w:bottom w:val="nil"/>
              <w:right w:val="nil"/>
            </w:tcBorders>
            <w:shd w:val="clear" w:color="auto" w:fill="auto"/>
            <w:noWrap/>
            <w:vAlign w:val="center"/>
            <w:hideMark/>
          </w:tcPr>
          <w:p w14:paraId="4BCEF1DD" w14:textId="77777777" w:rsidR="00847F65" w:rsidRPr="00090E3A" w:rsidRDefault="00847F65" w:rsidP="00090E3A">
            <w:pPr>
              <w:jc w:val="center"/>
              <w:rPr>
                <w:color w:val="000000"/>
                <w:sz w:val="18"/>
                <w:szCs w:val="18"/>
              </w:rPr>
            </w:pPr>
            <w:r w:rsidRPr="00090E3A">
              <w:rPr>
                <w:color w:val="000000"/>
                <w:sz w:val="18"/>
                <w:szCs w:val="18"/>
              </w:rPr>
              <w:t>0.140***</w:t>
            </w:r>
          </w:p>
        </w:tc>
        <w:tc>
          <w:tcPr>
            <w:tcW w:w="505" w:type="pct"/>
            <w:tcBorders>
              <w:top w:val="nil"/>
              <w:left w:val="single" w:sz="4" w:space="0" w:color="auto"/>
              <w:bottom w:val="nil"/>
              <w:right w:val="nil"/>
            </w:tcBorders>
            <w:shd w:val="clear" w:color="auto" w:fill="auto"/>
            <w:noWrap/>
            <w:vAlign w:val="center"/>
            <w:hideMark/>
          </w:tcPr>
          <w:p w14:paraId="5D2177EF" w14:textId="77777777" w:rsidR="00847F65" w:rsidRPr="00090E3A" w:rsidRDefault="00847F65" w:rsidP="00090E3A">
            <w:pPr>
              <w:jc w:val="center"/>
              <w:rPr>
                <w:color w:val="000000"/>
                <w:sz w:val="18"/>
                <w:szCs w:val="18"/>
              </w:rPr>
            </w:pPr>
            <w:r w:rsidRPr="00090E3A">
              <w:rPr>
                <w:color w:val="000000"/>
                <w:sz w:val="18"/>
                <w:szCs w:val="18"/>
              </w:rPr>
              <w:t>0.332***</w:t>
            </w:r>
          </w:p>
        </w:tc>
        <w:tc>
          <w:tcPr>
            <w:tcW w:w="505" w:type="pct"/>
            <w:tcBorders>
              <w:top w:val="nil"/>
              <w:left w:val="nil"/>
              <w:bottom w:val="nil"/>
              <w:right w:val="nil"/>
            </w:tcBorders>
            <w:shd w:val="clear" w:color="auto" w:fill="auto"/>
            <w:noWrap/>
            <w:vAlign w:val="center"/>
            <w:hideMark/>
          </w:tcPr>
          <w:p w14:paraId="6803050E" w14:textId="77777777" w:rsidR="00847F65" w:rsidRPr="00090E3A" w:rsidRDefault="00847F65" w:rsidP="00090E3A">
            <w:pPr>
              <w:jc w:val="center"/>
              <w:rPr>
                <w:color w:val="000000"/>
                <w:sz w:val="18"/>
                <w:szCs w:val="18"/>
              </w:rPr>
            </w:pPr>
            <w:r w:rsidRPr="00090E3A">
              <w:rPr>
                <w:color w:val="000000"/>
                <w:sz w:val="18"/>
                <w:szCs w:val="18"/>
              </w:rPr>
              <w:t>0.331***</w:t>
            </w:r>
          </w:p>
        </w:tc>
        <w:tc>
          <w:tcPr>
            <w:tcW w:w="505" w:type="pct"/>
            <w:tcBorders>
              <w:top w:val="nil"/>
              <w:left w:val="nil"/>
              <w:bottom w:val="nil"/>
              <w:right w:val="nil"/>
            </w:tcBorders>
            <w:shd w:val="clear" w:color="auto" w:fill="auto"/>
            <w:noWrap/>
            <w:vAlign w:val="center"/>
            <w:hideMark/>
          </w:tcPr>
          <w:p w14:paraId="56E5E63E" w14:textId="77777777" w:rsidR="00847F65" w:rsidRPr="00090E3A" w:rsidRDefault="00847F65" w:rsidP="00090E3A">
            <w:pPr>
              <w:jc w:val="center"/>
              <w:rPr>
                <w:color w:val="000000"/>
                <w:sz w:val="18"/>
                <w:szCs w:val="18"/>
              </w:rPr>
            </w:pPr>
            <w:r w:rsidRPr="00090E3A">
              <w:rPr>
                <w:color w:val="000000"/>
                <w:sz w:val="18"/>
                <w:szCs w:val="18"/>
              </w:rPr>
              <w:t>0.208***</w:t>
            </w:r>
          </w:p>
        </w:tc>
        <w:tc>
          <w:tcPr>
            <w:tcW w:w="503" w:type="pct"/>
            <w:tcBorders>
              <w:top w:val="nil"/>
              <w:left w:val="nil"/>
              <w:bottom w:val="nil"/>
              <w:right w:val="nil"/>
            </w:tcBorders>
            <w:shd w:val="clear" w:color="auto" w:fill="auto"/>
            <w:noWrap/>
            <w:vAlign w:val="center"/>
            <w:hideMark/>
          </w:tcPr>
          <w:p w14:paraId="4CBEB18A" w14:textId="77777777" w:rsidR="00847F65" w:rsidRPr="00090E3A" w:rsidRDefault="00847F65" w:rsidP="00090E3A">
            <w:pPr>
              <w:jc w:val="center"/>
              <w:rPr>
                <w:color w:val="000000"/>
                <w:sz w:val="18"/>
                <w:szCs w:val="18"/>
              </w:rPr>
            </w:pPr>
            <w:r w:rsidRPr="00090E3A">
              <w:rPr>
                <w:color w:val="000000"/>
                <w:sz w:val="18"/>
                <w:szCs w:val="18"/>
              </w:rPr>
              <w:t>0.188***</w:t>
            </w:r>
          </w:p>
        </w:tc>
      </w:tr>
      <w:tr w:rsidR="00847F65" w:rsidRPr="00090E3A" w14:paraId="30ACB649" w14:textId="77777777" w:rsidTr="00EF3882">
        <w:trPr>
          <w:trHeight w:val="300"/>
        </w:trPr>
        <w:tc>
          <w:tcPr>
            <w:tcW w:w="965" w:type="pct"/>
            <w:tcBorders>
              <w:top w:val="nil"/>
              <w:left w:val="nil"/>
              <w:bottom w:val="nil"/>
              <w:right w:val="nil"/>
            </w:tcBorders>
            <w:shd w:val="clear" w:color="auto" w:fill="auto"/>
            <w:noWrap/>
            <w:vAlign w:val="center"/>
            <w:hideMark/>
          </w:tcPr>
          <w:p w14:paraId="0899B41A" w14:textId="77777777" w:rsidR="00847F65" w:rsidRPr="00090E3A" w:rsidRDefault="00847F65" w:rsidP="00090E3A">
            <w:pPr>
              <w:jc w:val="center"/>
              <w:rPr>
                <w:color w:val="000000"/>
                <w:sz w:val="18"/>
                <w:szCs w:val="18"/>
              </w:rPr>
            </w:pPr>
          </w:p>
        </w:tc>
        <w:tc>
          <w:tcPr>
            <w:tcW w:w="504" w:type="pct"/>
            <w:tcBorders>
              <w:top w:val="nil"/>
              <w:left w:val="nil"/>
              <w:bottom w:val="nil"/>
              <w:right w:val="nil"/>
            </w:tcBorders>
            <w:shd w:val="clear" w:color="auto" w:fill="auto"/>
            <w:noWrap/>
            <w:vAlign w:val="center"/>
            <w:hideMark/>
          </w:tcPr>
          <w:p w14:paraId="0B9EED31" w14:textId="77777777" w:rsidR="00847F65" w:rsidRPr="00090E3A" w:rsidRDefault="00847F65" w:rsidP="00090E3A">
            <w:pPr>
              <w:jc w:val="center"/>
              <w:rPr>
                <w:color w:val="000000"/>
                <w:sz w:val="18"/>
                <w:szCs w:val="18"/>
              </w:rPr>
            </w:pPr>
            <w:r w:rsidRPr="00090E3A">
              <w:rPr>
                <w:color w:val="000000"/>
                <w:sz w:val="18"/>
                <w:szCs w:val="18"/>
              </w:rPr>
              <w:t>(0.0134)</w:t>
            </w:r>
          </w:p>
        </w:tc>
        <w:tc>
          <w:tcPr>
            <w:tcW w:w="504" w:type="pct"/>
            <w:tcBorders>
              <w:top w:val="nil"/>
              <w:left w:val="nil"/>
              <w:bottom w:val="nil"/>
              <w:right w:val="nil"/>
            </w:tcBorders>
            <w:shd w:val="clear" w:color="auto" w:fill="auto"/>
            <w:noWrap/>
            <w:vAlign w:val="center"/>
            <w:hideMark/>
          </w:tcPr>
          <w:p w14:paraId="6AFE1690" w14:textId="77777777" w:rsidR="00847F65" w:rsidRPr="00090E3A" w:rsidRDefault="00847F65" w:rsidP="00090E3A">
            <w:pPr>
              <w:jc w:val="center"/>
              <w:rPr>
                <w:color w:val="000000"/>
                <w:sz w:val="18"/>
                <w:szCs w:val="18"/>
              </w:rPr>
            </w:pPr>
            <w:r w:rsidRPr="00090E3A">
              <w:rPr>
                <w:color w:val="000000"/>
                <w:sz w:val="18"/>
                <w:szCs w:val="18"/>
              </w:rPr>
              <w:t>(0.0121)</w:t>
            </w:r>
          </w:p>
        </w:tc>
        <w:tc>
          <w:tcPr>
            <w:tcW w:w="504" w:type="pct"/>
            <w:tcBorders>
              <w:top w:val="nil"/>
              <w:left w:val="nil"/>
              <w:bottom w:val="nil"/>
              <w:right w:val="nil"/>
            </w:tcBorders>
            <w:shd w:val="clear" w:color="auto" w:fill="auto"/>
            <w:noWrap/>
            <w:vAlign w:val="center"/>
            <w:hideMark/>
          </w:tcPr>
          <w:p w14:paraId="30B48122" w14:textId="77777777" w:rsidR="00847F65" w:rsidRPr="00090E3A" w:rsidRDefault="00847F65" w:rsidP="00090E3A">
            <w:pPr>
              <w:jc w:val="center"/>
              <w:rPr>
                <w:color w:val="000000"/>
                <w:sz w:val="18"/>
                <w:szCs w:val="18"/>
              </w:rPr>
            </w:pPr>
            <w:r w:rsidRPr="00090E3A">
              <w:rPr>
                <w:color w:val="000000"/>
                <w:sz w:val="18"/>
                <w:szCs w:val="18"/>
              </w:rPr>
              <w:t>(0.0164)</w:t>
            </w:r>
          </w:p>
        </w:tc>
        <w:tc>
          <w:tcPr>
            <w:tcW w:w="505" w:type="pct"/>
            <w:tcBorders>
              <w:top w:val="nil"/>
              <w:left w:val="nil"/>
              <w:bottom w:val="nil"/>
              <w:right w:val="nil"/>
            </w:tcBorders>
            <w:shd w:val="clear" w:color="auto" w:fill="auto"/>
            <w:noWrap/>
            <w:vAlign w:val="center"/>
            <w:hideMark/>
          </w:tcPr>
          <w:p w14:paraId="17CAC1B5" w14:textId="77777777" w:rsidR="00847F65" w:rsidRPr="00090E3A" w:rsidRDefault="00847F65" w:rsidP="00090E3A">
            <w:pPr>
              <w:jc w:val="center"/>
              <w:rPr>
                <w:color w:val="000000"/>
                <w:sz w:val="18"/>
                <w:szCs w:val="18"/>
              </w:rPr>
            </w:pPr>
            <w:r w:rsidRPr="00090E3A">
              <w:rPr>
                <w:color w:val="000000"/>
                <w:sz w:val="18"/>
                <w:szCs w:val="18"/>
              </w:rPr>
              <w:t>(0.0149)</w:t>
            </w:r>
          </w:p>
        </w:tc>
        <w:tc>
          <w:tcPr>
            <w:tcW w:w="505" w:type="pct"/>
            <w:tcBorders>
              <w:top w:val="nil"/>
              <w:left w:val="single" w:sz="4" w:space="0" w:color="auto"/>
              <w:bottom w:val="nil"/>
              <w:right w:val="nil"/>
            </w:tcBorders>
            <w:shd w:val="clear" w:color="auto" w:fill="auto"/>
            <w:noWrap/>
            <w:vAlign w:val="center"/>
            <w:hideMark/>
          </w:tcPr>
          <w:p w14:paraId="5875F3C0" w14:textId="77777777" w:rsidR="00847F65" w:rsidRPr="00090E3A" w:rsidRDefault="00847F65" w:rsidP="00090E3A">
            <w:pPr>
              <w:jc w:val="center"/>
              <w:rPr>
                <w:color w:val="000000"/>
                <w:sz w:val="18"/>
                <w:szCs w:val="18"/>
              </w:rPr>
            </w:pPr>
            <w:r w:rsidRPr="00090E3A">
              <w:rPr>
                <w:color w:val="000000"/>
                <w:sz w:val="18"/>
                <w:szCs w:val="18"/>
              </w:rPr>
              <w:t>(0.0140)</w:t>
            </w:r>
          </w:p>
        </w:tc>
        <w:tc>
          <w:tcPr>
            <w:tcW w:w="505" w:type="pct"/>
            <w:tcBorders>
              <w:top w:val="nil"/>
              <w:left w:val="nil"/>
              <w:bottom w:val="nil"/>
              <w:right w:val="nil"/>
            </w:tcBorders>
            <w:shd w:val="clear" w:color="auto" w:fill="auto"/>
            <w:noWrap/>
            <w:vAlign w:val="center"/>
            <w:hideMark/>
          </w:tcPr>
          <w:p w14:paraId="4014F307" w14:textId="77777777" w:rsidR="00847F65" w:rsidRPr="00090E3A" w:rsidRDefault="00847F65" w:rsidP="00090E3A">
            <w:pPr>
              <w:jc w:val="center"/>
              <w:rPr>
                <w:color w:val="000000"/>
                <w:sz w:val="18"/>
                <w:szCs w:val="18"/>
              </w:rPr>
            </w:pPr>
            <w:r w:rsidRPr="00090E3A">
              <w:rPr>
                <w:color w:val="000000"/>
                <w:sz w:val="18"/>
                <w:szCs w:val="18"/>
              </w:rPr>
              <w:t>(0.0126)</w:t>
            </w:r>
          </w:p>
        </w:tc>
        <w:tc>
          <w:tcPr>
            <w:tcW w:w="505" w:type="pct"/>
            <w:tcBorders>
              <w:top w:val="nil"/>
              <w:left w:val="nil"/>
              <w:bottom w:val="nil"/>
              <w:right w:val="nil"/>
            </w:tcBorders>
            <w:shd w:val="clear" w:color="auto" w:fill="auto"/>
            <w:noWrap/>
            <w:vAlign w:val="center"/>
            <w:hideMark/>
          </w:tcPr>
          <w:p w14:paraId="7EBC2B0E" w14:textId="77777777" w:rsidR="00847F65" w:rsidRPr="00090E3A" w:rsidRDefault="00847F65" w:rsidP="00090E3A">
            <w:pPr>
              <w:jc w:val="center"/>
              <w:rPr>
                <w:color w:val="000000"/>
                <w:sz w:val="18"/>
                <w:szCs w:val="18"/>
              </w:rPr>
            </w:pPr>
            <w:r w:rsidRPr="00090E3A">
              <w:rPr>
                <w:color w:val="000000"/>
                <w:sz w:val="18"/>
                <w:szCs w:val="18"/>
              </w:rPr>
              <w:t>(0.0174)</w:t>
            </w:r>
          </w:p>
        </w:tc>
        <w:tc>
          <w:tcPr>
            <w:tcW w:w="503" w:type="pct"/>
            <w:tcBorders>
              <w:top w:val="nil"/>
              <w:left w:val="nil"/>
              <w:bottom w:val="nil"/>
              <w:right w:val="nil"/>
            </w:tcBorders>
            <w:shd w:val="clear" w:color="auto" w:fill="auto"/>
            <w:noWrap/>
            <w:vAlign w:val="center"/>
            <w:hideMark/>
          </w:tcPr>
          <w:p w14:paraId="13CCBE49" w14:textId="77777777" w:rsidR="00847F65" w:rsidRPr="00090E3A" w:rsidRDefault="00847F65" w:rsidP="00090E3A">
            <w:pPr>
              <w:jc w:val="center"/>
              <w:rPr>
                <w:color w:val="000000"/>
                <w:sz w:val="18"/>
                <w:szCs w:val="18"/>
              </w:rPr>
            </w:pPr>
            <w:r w:rsidRPr="00090E3A">
              <w:rPr>
                <w:color w:val="000000"/>
                <w:sz w:val="18"/>
                <w:szCs w:val="18"/>
              </w:rPr>
              <w:t>(0.0157)</w:t>
            </w:r>
          </w:p>
        </w:tc>
      </w:tr>
      <w:tr w:rsidR="00847F65" w:rsidRPr="00090E3A" w14:paraId="54438383" w14:textId="77777777" w:rsidTr="00EF3882">
        <w:trPr>
          <w:trHeight w:val="300"/>
        </w:trPr>
        <w:tc>
          <w:tcPr>
            <w:tcW w:w="965" w:type="pct"/>
            <w:tcBorders>
              <w:top w:val="nil"/>
              <w:left w:val="nil"/>
              <w:bottom w:val="nil"/>
              <w:right w:val="nil"/>
            </w:tcBorders>
            <w:shd w:val="clear" w:color="auto" w:fill="auto"/>
            <w:noWrap/>
            <w:vAlign w:val="center"/>
            <w:hideMark/>
          </w:tcPr>
          <w:p w14:paraId="6CD9D819" w14:textId="77777777" w:rsidR="00847F65" w:rsidRPr="00090E3A" w:rsidRDefault="00847F65" w:rsidP="00090E3A">
            <w:pPr>
              <w:jc w:val="center"/>
              <w:rPr>
                <w:color w:val="000000"/>
                <w:sz w:val="18"/>
                <w:szCs w:val="18"/>
              </w:rPr>
            </w:pPr>
            <m:oMathPara>
              <m:oMath>
                <m:r>
                  <w:rPr>
                    <w:rFonts w:ascii="Cambria Math" w:hAnsi="Cambria Math"/>
                    <w:color w:val="000000"/>
                    <w:sz w:val="18"/>
                    <w:szCs w:val="18"/>
                  </w:rPr>
                  <m:t xml:space="preserve">∆ </m:t>
                </m:r>
                <m:sSub>
                  <m:sSubPr>
                    <m:ctrlPr>
                      <w:rPr>
                        <w:rFonts w:ascii="Cambria Math" w:hAnsi="Cambria Math"/>
                        <w:i/>
                        <w:color w:val="000000"/>
                        <w:sz w:val="18"/>
                        <w:szCs w:val="18"/>
                      </w:rPr>
                    </m:ctrlPr>
                  </m:sSubPr>
                  <m:e>
                    <m:r>
                      <w:rPr>
                        <w:rFonts w:ascii="Cambria Math" w:hAnsi="Cambria Math"/>
                        <w:color w:val="000000"/>
                        <w:sz w:val="18"/>
                        <w:szCs w:val="18"/>
                      </w:rPr>
                      <m:t>port cont</m:t>
                    </m:r>
                  </m:e>
                  <m:sub>
                    <m:r>
                      <w:rPr>
                        <w:rFonts w:ascii="Cambria Math" w:hAnsi="Cambria Math"/>
                        <w:color w:val="000000"/>
                        <w:sz w:val="18"/>
                        <w:szCs w:val="18"/>
                      </w:rPr>
                      <m:t>ij,t-2</m:t>
                    </m:r>
                  </m:sub>
                </m:sSub>
              </m:oMath>
            </m:oMathPara>
          </w:p>
        </w:tc>
        <w:tc>
          <w:tcPr>
            <w:tcW w:w="504" w:type="pct"/>
            <w:tcBorders>
              <w:top w:val="nil"/>
              <w:left w:val="nil"/>
              <w:bottom w:val="nil"/>
              <w:right w:val="nil"/>
            </w:tcBorders>
            <w:shd w:val="clear" w:color="auto" w:fill="auto"/>
            <w:noWrap/>
            <w:vAlign w:val="center"/>
            <w:hideMark/>
          </w:tcPr>
          <w:p w14:paraId="7C441F27" w14:textId="77777777" w:rsidR="00847F65" w:rsidRPr="00090E3A" w:rsidRDefault="00847F65" w:rsidP="00090E3A">
            <w:pPr>
              <w:jc w:val="center"/>
              <w:rPr>
                <w:color w:val="000000"/>
                <w:sz w:val="18"/>
                <w:szCs w:val="18"/>
              </w:rPr>
            </w:pPr>
            <w:r w:rsidRPr="00090E3A">
              <w:rPr>
                <w:color w:val="000000"/>
                <w:sz w:val="18"/>
                <w:szCs w:val="18"/>
              </w:rPr>
              <w:t>-0.044***</w:t>
            </w:r>
          </w:p>
        </w:tc>
        <w:tc>
          <w:tcPr>
            <w:tcW w:w="504" w:type="pct"/>
            <w:tcBorders>
              <w:top w:val="nil"/>
              <w:left w:val="nil"/>
              <w:bottom w:val="nil"/>
              <w:right w:val="nil"/>
            </w:tcBorders>
            <w:shd w:val="clear" w:color="auto" w:fill="auto"/>
            <w:noWrap/>
            <w:vAlign w:val="center"/>
            <w:hideMark/>
          </w:tcPr>
          <w:p w14:paraId="5C6C26E8" w14:textId="77777777" w:rsidR="00847F65" w:rsidRPr="00090E3A" w:rsidRDefault="00847F65" w:rsidP="00090E3A">
            <w:pPr>
              <w:jc w:val="center"/>
              <w:rPr>
                <w:color w:val="000000"/>
                <w:sz w:val="18"/>
                <w:szCs w:val="18"/>
              </w:rPr>
            </w:pPr>
            <w:r w:rsidRPr="00090E3A">
              <w:rPr>
                <w:color w:val="000000"/>
                <w:sz w:val="18"/>
                <w:szCs w:val="18"/>
              </w:rPr>
              <w:t>-0.048***</w:t>
            </w:r>
          </w:p>
        </w:tc>
        <w:tc>
          <w:tcPr>
            <w:tcW w:w="504" w:type="pct"/>
            <w:tcBorders>
              <w:top w:val="nil"/>
              <w:left w:val="nil"/>
              <w:bottom w:val="nil"/>
              <w:right w:val="nil"/>
            </w:tcBorders>
            <w:shd w:val="clear" w:color="auto" w:fill="auto"/>
            <w:noWrap/>
            <w:vAlign w:val="center"/>
            <w:hideMark/>
          </w:tcPr>
          <w:p w14:paraId="3C1D8958" w14:textId="77777777" w:rsidR="00847F65" w:rsidRPr="00090E3A" w:rsidRDefault="00847F65" w:rsidP="00090E3A">
            <w:pPr>
              <w:jc w:val="center"/>
              <w:rPr>
                <w:color w:val="000000"/>
                <w:sz w:val="18"/>
                <w:szCs w:val="18"/>
              </w:rPr>
            </w:pPr>
            <w:r w:rsidRPr="00090E3A">
              <w:rPr>
                <w:color w:val="000000"/>
                <w:sz w:val="18"/>
                <w:szCs w:val="18"/>
              </w:rPr>
              <w:t>-0.337***</w:t>
            </w:r>
          </w:p>
        </w:tc>
        <w:tc>
          <w:tcPr>
            <w:tcW w:w="505" w:type="pct"/>
            <w:tcBorders>
              <w:top w:val="nil"/>
              <w:left w:val="nil"/>
              <w:bottom w:val="nil"/>
              <w:right w:val="nil"/>
            </w:tcBorders>
            <w:shd w:val="clear" w:color="auto" w:fill="auto"/>
            <w:noWrap/>
            <w:vAlign w:val="center"/>
            <w:hideMark/>
          </w:tcPr>
          <w:p w14:paraId="542AC07F" w14:textId="77777777" w:rsidR="00847F65" w:rsidRPr="00090E3A" w:rsidRDefault="00847F65" w:rsidP="00090E3A">
            <w:pPr>
              <w:jc w:val="center"/>
              <w:rPr>
                <w:color w:val="000000"/>
                <w:sz w:val="18"/>
                <w:szCs w:val="18"/>
              </w:rPr>
            </w:pPr>
            <w:r w:rsidRPr="00090E3A">
              <w:rPr>
                <w:color w:val="000000"/>
                <w:sz w:val="18"/>
                <w:szCs w:val="18"/>
              </w:rPr>
              <w:t>-0.376***</w:t>
            </w:r>
          </w:p>
        </w:tc>
        <w:tc>
          <w:tcPr>
            <w:tcW w:w="505" w:type="pct"/>
            <w:tcBorders>
              <w:top w:val="nil"/>
              <w:left w:val="single" w:sz="4" w:space="0" w:color="auto"/>
              <w:bottom w:val="nil"/>
              <w:right w:val="nil"/>
            </w:tcBorders>
            <w:shd w:val="clear" w:color="auto" w:fill="auto"/>
            <w:noWrap/>
            <w:vAlign w:val="center"/>
            <w:hideMark/>
          </w:tcPr>
          <w:p w14:paraId="0727A593" w14:textId="77777777" w:rsidR="00847F65" w:rsidRPr="00090E3A" w:rsidRDefault="00847F65" w:rsidP="00090E3A">
            <w:pPr>
              <w:jc w:val="center"/>
              <w:rPr>
                <w:color w:val="000000"/>
                <w:sz w:val="18"/>
                <w:szCs w:val="18"/>
              </w:rPr>
            </w:pPr>
            <w:r w:rsidRPr="00090E3A">
              <w:rPr>
                <w:color w:val="000000"/>
                <w:sz w:val="18"/>
                <w:szCs w:val="18"/>
              </w:rPr>
              <w:t>(0.0201)</w:t>
            </w:r>
          </w:p>
        </w:tc>
        <w:tc>
          <w:tcPr>
            <w:tcW w:w="505" w:type="pct"/>
            <w:tcBorders>
              <w:top w:val="nil"/>
              <w:left w:val="nil"/>
              <w:bottom w:val="nil"/>
              <w:right w:val="nil"/>
            </w:tcBorders>
            <w:shd w:val="clear" w:color="auto" w:fill="auto"/>
            <w:noWrap/>
            <w:vAlign w:val="center"/>
            <w:hideMark/>
          </w:tcPr>
          <w:p w14:paraId="1707BF4A" w14:textId="77777777" w:rsidR="00847F65" w:rsidRPr="00090E3A" w:rsidRDefault="00847F65" w:rsidP="00090E3A">
            <w:pPr>
              <w:jc w:val="center"/>
              <w:rPr>
                <w:color w:val="000000"/>
                <w:sz w:val="18"/>
                <w:szCs w:val="18"/>
              </w:rPr>
            </w:pPr>
            <w:r w:rsidRPr="00090E3A">
              <w:rPr>
                <w:color w:val="000000"/>
                <w:sz w:val="18"/>
                <w:szCs w:val="18"/>
              </w:rPr>
              <w:t>(0.0223)</w:t>
            </w:r>
          </w:p>
        </w:tc>
        <w:tc>
          <w:tcPr>
            <w:tcW w:w="505" w:type="pct"/>
            <w:tcBorders>
              <w:top w:val="nil"/>
              <w:left w:val="nil"/>
              <w:bottom w:val="nil"/>
              <w:right w:val="nil"/>
            </w:tcBorders>
            <w:shd w:val="clear" w:color="auto" w:fill="auto"/>
            <w:noWrap/>
            <w:vAlign w:val="center"/>
            <w:hideMark/>
          </w:tcPr>
          <w:p w14:paraId="1F4226EB" w14:textId="77777777" w:rsidR="00847F65" w:rsidRPr="00090E3A" w:rsidRDefault="00847F65" w:rsidP="00090E3A">
            <w:pPr>
              <w:jc w:val="center"/>
              <w:rPr>
                <w:color w:val="000000"/>
                <w:sz w:val="18"/>
                <w:szCs w:val="18"/>
              </w:rPr>
            </w:pPr>
            <w:r w:rsidRPr="00090E3A">
              <w:rPr>
                <w:color w:val="000000"/>
                <w:sz w:val="18"/>
                <w:szCs w:val="18"/>
              </w:rPr>
              <w:t>-0.316***</w:t>
            </w:r>
          </w:p>
        </w:tc>
        <w:tc>
          <w:tcPr>
            <w:tcW w:w="503" w:type="pct"/>
            <w:tcBorders>
              <w:top w:val="nil"/>
              <w:left w:val="nil"/>
              <w:bottom w:val="nil"/>
              <w:right w:val="nil"/>
            </w:tcBorders>
            <w:shd w:val="clear" w:color="auto" w:fill="auto"/>
            <w:noWrap/>
            <w:vAlign w:val="center"/>
            <w:hideMark/>
          </w:tcPr>
          <w:p w14:paraId="47DBBF37" w14:textId="77777777" w:rsidR="00847F65" w:rsidRPr="00090E3A" w:rsidRDefault="00847F65" w:rsidP="00090E3A">
            <w:pPr>
              <w:jc w:val="center"/>
              <w:rPr>
                <w:color w:val="000000"/>
                <w:sz w:val="18"/>
                <w:szCs w:val="18"/>
              </w:rPr>
            </w:pPr>
            <w:r w:rsidRPr="00090E3A">
              <w:rPr>
                <w:color w:val="000000"/>
                <w:sz w:val="18"/>
                <w:szCs w:val="18"/>
              </w:rPr>
              <w:t>-0.351***</w:t>
            </w:r>
          </w:p>
        </w:tc>
      </w:tr>
      <w:tr w:rsidR="00847F65" w:rsidRPr="00090E3A" w14:paraId="47DA55AE" w14:textId="77777777" w:rsidTr="00EF3882">
        <w:trPr>
          <w:trHeight w:val="300"/>
        </w:trPr>
        <w:tc>
          <w:tcPr>
            <w:tcW w:w="965" w:type="pct"/>
            <w:tcBorders>
              <w:top w:val="nil"/>
              <w:left w:val="nil"/>
              <w:bottom w:val="nil"/>
              <w:right w:val="nil"/>
            </w:tcBorders>
            <w:shd w:val="clear" w:color="auto" w:fill="auto"/>
            <w:noWrap/>
            <w:vAlign w:val="center"/>
            <w:hideMark/>
          </w:tcPr>
          <w:p w14:paraId="3D190CF6" w14:textId="77777777" w:rsidR="00847F65" w:rsidRPr="00090E3A" w:rsidRDefault="00847F65" w:rsidP="00090E3A">
            <w:pPr>
              <w:jc w:val="center"/>
              <w:rPr>
                <w:color w:val="000000"/>
                <w:sz w:val="18"/>
                <w:szCs w:val="18"/>
              </w:rPr>
            </w:pPr>
          </w:p>
        </w:tc>
        <w:tc>
          <w:tcPr>
            <w:tcW w:w="504" w:type="pct"/>
            <w:tcBorders>
              <w:top w:val="nil"/>
              <w:left w:val="nil"/>
              <w:bottom w:val="nil"/>
              <w:right w:val="nil"/>
            </w:tcBorders>
            <w:shd w:val="clear" w:color="auto" w:fill="auto"/>
            <w:noWrap/>
            <w:vAlign w:val="center"/>
            <w:hideMark/>
          </w:tcPr>
          <w:p w14:paraId="05130114" w14:textId="77777777" w:rsidR="00847F65" w:rsidRPr="00090E3A" w:rsidRDefault="00847F65" w:rsidP="00090E3A">
            <w:pPr>
              <w:jc w:val="center"/>
              <w:rPr>
                <w:color w:val="000000"/>
                <w:sz w:val="18"/>
                <w:szCs w:val="18"/>
              </w:rPr>
            </w:pPr>
            <w:r w:rsidRPr="00090E3A">
              <w:rPr>
                <w:color w:val="000000"/>
                <w:sz w:val="18"/>
                <w:szCs w:val="18"/>
              </w:rPr>
              <w:t>(0.0131)</w:t>
            </w:r>
          </w:p>
        </w:tc>
        <w:tc>
          <w:tcPr>
            <w:tcW w:w="504" w:type="pct"/>
            <w:tcBorders>
              <w:top w:val="nil"/>
              <w:left w:val="nil"/>
              <w:bottom w:val="nil"/>
              <w:right w:val="nil"/>
            </w:tcBorders>
            <w:shd w:val="clear" w:color="auto" w:fill="auto"/>
            <w:noWrap/>
            <w:vAlign w:val="center"/>
            <w:hideMark/>
          </w:tcPr>
          <w:p w14:paraId="451D0939" w14:textId="77777777" w:rsidR="00847F65" w:rsidRPr="00090E3A" w:rsidRDefault="00847F65" w:rsidP="00090E3A">
            <w:pPr>
              <w:jc w:val="center"/>
              <w:rPr>
                <w:color w:val="000000"/>
                <w:sz w:val="18"/>
                <w:szCs w:val="18"/>
              </w:rPr>
            </w:pPr>
            <w:r w:rsidRPr="00090E3A">
              <w:rPr>
                <w:color w:val="000000"/>
                <w:sz w:val="18"/>
                <w:szCs w:val="18"/>
              </w:rPr>
              <w:t>(0.0117)</w:t>
            </w:r>
          </w:p>
        </w:tc>
        <w:tc>
          <w:tcPr>
            <w:tcW w:w="504" w:type="pct"/>
            <w:tcBorders>
              <w:top w:val="nil"/>
              <w:left w:val="nil"/>
              <w:bottom w:val="nil"/>
              <w:right w:val="nil"/>
            </w:tcBorders>
            <w:shd w:val="clear" w:color="auto" w:fill="auto"/>
            <w:noWrap/>
            <w:vAlign w:val="center"/>
            <w:hideMark/>
          </w:tcPr>
          <w:p w14:paraId="05F7A8F3" w14:textId="77777777" w:rsidR="00847F65" w:rsidRPr="00090E3A" w:rsidRDefault="00847F65" w:rsidP="00090E3A">
            <w:pPr>
              <w:jc w:val="center"/>
              <w:rPr>
                <w:color w:val="000000"/>
                <w:sz w:val="18"/>
                <w:szCs w:val="18"/>
              </w:rPr>
            </w:pPr>
            <w:r w:rsidRPr="00090E3A">
              <w:rPr>
                <w:color w:val="000000"/>
                <w:sz w:val="18"/>
                <w:szCs w:val="18"/>
              </w:rPr>
              <w:t>(0.0174)</w:t>
            </w:r>
          </w:p>
        </w:tc>
        <w:tc>
          <w:tcPr>
            <w:tcW w:w="505" w:type="pct"/>
            <w:tcBorders>
              <w:top w:val="nil"/>
              <w:left w:val="nil"/>
              <w:bottom w:val="nil"/>
              <w:right w:val="nil"/>
            </w:tcBorders>
            <w:shd w:val="clear" w:color="auto" w:fill="auto"/>
            <w:noWrap/>
            <w:vAlign w:val="center"/>
            <w:hideMark/>
          </w:tcPr>
          <w:p w14:paraId="09193292" w14:textId="77777777" w:rsidR="00847F65" w:rsidRPr="00090E3A" w:rsidRDefault="00847F65" w:rsidP="00090E3A">
            <w:pPr>
              <w:jc w:val="center"/>
              <w:rPr>
                <w:color w:val="000000"/>
                <w:sz w:val="18"/>
                <w:szCs w:val="18"/>
              </w:rPr>
            </w:pPr>
            <w:r w:rsidRPr="00090E3A">
              <w:rPr>
                <w:color w:val="000000"/>
                <w:sz w:val="18"/>
                <w:szCs w:val="18"/>
              </w:rPr>
              <w:t>(0.0157)</w:t>
            </w:r>
          </w:p>
        </w:tc>
        <w:tc>
          <w:tcPr>
            <w:tcW w:w="505" w:type="pct"/>
            <w:tcBorders>
              <w:top w:val="nil"/>
              <w:left w:val="single" w:sz="4" w:space="0" w:color="auto"/>
              <w:bottom w:val="nil"/>
              <w:right w:val="nil"/>
            </w:tcBorders>
            <w:shd w:val="clear" w:color="auto" w:fill="auto"/>
            <w:noWrap/>
            <w:vAlign w:val="center"/>
            <w:hideMark/>
          </w:tcPr>
          <w:p w14:paraId="26B5B8AC" w14:textId="77777777" w:rsidR="00847F65" w:rsidRPr="00090E3A" w:rsidRDefault="00847F65" w:rsidP="00090E3A">
            <w:pPr>
              <w:jc w:val="center"/>
              <w:rPr>
                <w:color w:val="000000"/>
                <w:sz w:val="18"/>
                <w:szCs w:val="18"/>
              </w:rPr>
            </w:pPr>
            <w:r w:rsidRPr="00090E3A">
              <w:rPr>
                <w:color w:val="000000"/>
                <w:sz w:val="18"/>
                <w:szCs w:val="18"/>
              </w:rPr>
              <w:t>(0.0135)</w:t>
            </w:r>
          </w:p>
        </w:tc>
        <w:tc>
          <w:tcPr>
            <w:tcW w:w="505" w:type="pct"/>
            <w:tcBorders>
              <w:top w:val="nil"/>
              <w:left w:val="nil"/>
              <w:bottom w:val="nil"/>
              <w:right w:val="nil"/>
            </w:tcBorders>
            <w:shd w:val="clear" w:color="auto" w:fill="auto"/>
            <w:noWrap/>
            <w:vAlign w:val="center"/>
            <w:hideMark/>
          </w:tcPr>
          <w:p w14:paraId="247A69B7" w14:textId="77777777" w:rsidR="00847F65" w:rsidRPr="00090E3A" w:rsidRDefault="00847F65" w:rsidP="00090E3A">
            <w:pPr>
              <w:jc w:val="center"/>
              <w:rPr>
                <w:color w:val="000000"/>
                <w:sz w:val="18"/>
                <w:szCs w:val="18"/>
              </w:rPr>
            </w:pPr>
            <w:r w:rsidRPr="00090E3A">
              <w:rPr>
                <w:color w:val="000000"/>
                <w:sz w:val="18"/>
                <w:szCs w:val="18"/>
              </w:rPr>
              <w:t>(0.0120)</w:t>
            </w:r>
          </w:p>
        </w:tc>
        <w:tc>
          <w:tcPr>
            <w:tcW w:w="505" w:type="pct"/>
            <w:tcBorders>
              <w:top w:val="nil"/>
              <w:left w:val="nil"/>
              <w:bottom w:val="nil"/>
              <w:right w:val="nil"/>
            </w:tcBorders>
            <w:shd w:val="clear" w:color="auto" w:fill="auto"/>
            <w:noWrap/>
            <w:vAlign w:val="center"/>
            <w:hideMark/>
          </w:tcPr>
          <w:p w14:paraId="0736530C" w14:textId="77777777" w:rsidR="00847F65" w:rsidRPr="00090E3A" w:rsidRDefault="00847F65" w:rsidP="00090E3A">
            <w:pPr>
              <w:jc w:val="center"/>
              <w:rPr>
                <w:color w:val="000000"/>
                <w:sz w:val="18"/>
                <w:szCs w:val="18"/>
              </w:rPr>
            </w:pPr>
            <w:r w:rsidRPr="00090E3A">
              <w:rPr>
                <w:color w:val="000000"/>
                <w:sz w:val="18"/>
                <w:szCs w:val="18"/>
              </w:rPr>
              <w:t>(0.0180)</w:t>
            </w:r>
          </w:p>
        </w:tc>
        <w:tc>
          <w:tcPr>
            <w:tcW w:w="503" w:type="pct"/>
            <w:tcBorders>
              <w:top w:val="nil"/>
              <w:left w:val="nil"/>
              <w:bottom w:val="nil"/>
              <w:right w:val="nil"/>
            </w:tcBorders>
            <w:shd w:val="clear" w:color="auto" w:fill="auto"/>
            <w:noWrap/>
            <w:vAlign w:val="center"/>
            <w:hideMark/>
          </w:tcPr>
          <w:p w14:paraId="4A1CA45D" w14:textId="77777777" w:rsidR="00847F65" w:rsidRPr="00090E3A" w:rsidRDefault="00847F65" w:rsidP="00090E3A">
            <w:pPr>
              <w:jc w:val="center"/>
              <w:rPr>
                <w:color w:val="000000"/>
                <w:sz w:val="18"/>
                <w:szCs w:val="18"/>
              </w:rPr>
            </w:pPr>
            <w:r w:rsidRPr="00090E3A">
              <w:rPr>
                <w:color w:val="000000"/>
                <w:sz w:val="18"/>
                <w:szCs w:val="18"/>
              </w:rPr>
              <w:t>(0.0163)</w:t>
            </w:r>
          </w:p>
        </w:tc>
      </w:tr>
      <w:tr w:rsidR="00847F65" w:rsidRPr="00090E3A" w14:paraId="57D296AE" w14:textId="77777777" w:rsidTr="00EF3882">
        <w:trPr>
          <w:trHeight w:val="300"/>
        </w:trPr>
        <w:tc>
          <w:tcPr>
            <w:tcW w:w="965" w:type="pct"/>
            <w:tcBorders>
              <w:top w:val="nil"/>
              <w:left w:val="nil"/>
              <w:bottom w:val="nil"/>
              <w:right w:val="nil"/>
            </w:tcBorders>
            <w:shd w:val="clear" w:color="auto" w:fill="auto"/>
            <w:noWrap/>
            <w:vAlign w:val="center"/>
            <w:hideMark/>
          </w:tcPr>
          <w:p w14:paraId="1E15E282" w14:textId="77777777" w:rsidR="00847F65" w:rsidRPr="00090E3A" w:rsidRDefault="00847F65" w:rsidP="00090E3A">
            <w:pPr>
              <w:jc w:val="center"/>
              <w:rPr>
                <w:color w:val="000000"/>
                <w:sz w:val="18"/>
                <w:szCs w:val="18"/>
              </w:rPr>
            </w:pPr>
            <m:oMathPara>
              <m:oMath>
                <m:r>
                  <w:rPr>
                    <w:rFonts w:ascii="Cambria Math" w:hAnsi="Cambria Math"/>
                    <w:color w:val="000000"/>
                    <w:sz w:val="18"/>
                    <w:szCs w:val="18"/>
                  </w:rPr>
                  <m:t xml:space="preserve">∆ </m:t>
                </m:r>
                <m:sSub>
                  <m:sSubPr>
                    <m:ctrlPr>
                      <w:rPr>
                        <w:rFonts w:ascii="Cambria Math" w:hAnsi="Cambria Math"/>
                        <w:i/>
                        <w:color w:val="000000"/>
                        <w:sz w:val="18"/>
                        <w:szCs w:val="18"/>
                      </w:rPr>
                    </m:ctrlPr>
                  </m:sSubPr>
                  <m:e>
                    <m:r>
                      <w:rPr>
                        <w:rFonts w:ascii="Cambria Math" w:hAnsi="Cambria Math"/>
                        <w:color w:val="000000"/>
                        <w:sz w:val="18"/>
                        <w:szCs w:val="18"/>
                      </w:rPr>
                      <m:t>port cont</m:t>
                    </m:r>
                  </m:e>
                  <m:sub>
                    <m:r>
                      <w:rPr>
                        <w:rFonts w:ascii="Cambria Math" w:hAnsi="Cambria Math"/>
                        <w:color w:val="000000"/>
                        <w:sz w:val="18"/>
                        <w:szCs w:val="18"/>
                      </w:rPr>
                      <m:t>ij,t-3</m:t>
                    </m:r>
                  </m:sub>
                </m:sSub>
              </m:oMath>
            </m:oMathPara>
          </w:p>
        </w:tc>
        <w:tc>
          <w:tcPr>
            <w:tcW w:w="504" w:type="pct"/>
            <w:tcBorders>
              <w:top w:val="nil"/>
              <w:left w:val="nil"/>
              <w:bottom w:val="nil"/>
              <w:right w:val="nil"/>
            </w:tcBorders>
            <w:shd w:val="clear" w:color="auto" w:fill="auto"/>
            <w:noWrap/>
            <w:vAlign w:val="center"/>
            <w:hideMark/>
          </w:tcPr>
          <w:p w14:paraId="489F5717" w14:textId="77777777" w:rsidR="00847F65" w:rsidRPr="00090E3A" w:rsidRDefault="00847F65" w:rsidP="00090E3A">
            <w:pPr>
              <w:jc w:val="center"/>
              <w:rPr>
                <w:color w:val="000000"/>
                <w:sz w:val="18"/>
                <w:szCs w:val="18"/>
              </w:rPr>
            </w:pPr>
            <w:r w:rsidRPr="00090E3A">
              <w:rPr>
                <w:color w:val="000000"/>
                <w:sz w:val="18"/>
                <w:szCs w:val="18"/>
              </w:rPr>
              <w:t>-0.205***</w:t>
            </w:r>
          </w:p>
        </w:tc>
        <w:tc>
          <w:tcPr>
            <w:tcW w:w="504" w:type="pct"/>
            <w:tcBorders>
              <w:top w:val="nil"/>
              <w:left w:val="nil"/>
              <w:bottom w:val="nil"/>
              <w:right w:val="nil"/>
            </w:tcBorders>
            <w:shd w:val="clear" w:color="auto" w:fill="auto"/>
            <w:noWrap/>
            <w:vAlign w:val="center"/>
            <w:hideMark/>
          </w:tcPr>
          <w:p w14:paraId="23DCDA3C" w14:textId="77777777" w:rsidR="00847F65" w:rsidRPr="00090E3A" w:rsidRDefault="00847F65" w:rsidP="00090E3A">
            <w:pPr>
              <w:jc w:val="center"/>
              <w:rPr>
                <w:color w:val="000000"/>
                <w:sz w:val="18"/>
                <w:szCs w:val="18"/>
              </w:rPr>
            </w:pPr>
            <w:r w:rsidRPr="00090E3A">
              <w:rPr>
                <w:color w:val="000000"/>
                <w:sz w:val="18"/>
                <w:szCs w:val="18"/>
              </w:rPr>
              <w:t>-0.221***</w:t>
            </w:r>
          </w:p>
        </w:tc>
        <w:tc>
          <w:tcPr>
            <w:tcW w:w="504" w:type="pct"/>
            <w:tcBorders>
              <w:top w:val="nil"/>
              <w:left w:val="nil"/>
              <w:bottom w:val="nil"/>
              <w:right w:val="nil"/>
            </w:tcBorders>
            <w:shd w:val="clear" w:color="auto" w:fill="auto"/>
            <w:noWrap/>
            <w:vAlign w:val="center"/>
            <w:hideMark/>
          </w:tcPr>
          <w:p w14:paraId="6AACF135" w14:textId="77777777" w:rsidR="00847F65" w:rsidRPr="00090E3A" w:rsidRDefault="00847F65" w:rsidP="00090E3A">
            <w:pPr>
              <w:jc w:val="center"/>
              <w:rPr>
                <w:color w:val="000000"/>
                <w:sz w:val="18"/>
                <w:szCs w:val="18"/>
              </w:rPr>
            </w:pPr>
            <w:r w:rsidRPr="00090E3A">
              <w:rPr>
                <w:color w:val="000000"/>
                <w:sz w:val="18"/>
                <w:szCs w:val="18"/>
              </w:rPr>
              <w:t>-0.658***</w:t>
            </w:r>
          </w:p>
        </w:tc>
        <w:tc>
          <w:tcPr>
            <w:tcW w:w="505" w:type="pct"/>
            <w:tcBorders>
              <w:top w:val="nil"/>
              <w:left w:val="nil"/>
              <w:bottom w:val="nil"/>
              <w:right w:val="nil"/>
            </w:tcBorders>
            <w:shd w:val="clear" w:color="auto" w:fill="auto"/>
            <w:noWrap/>
            <w:vAlign w:val="center"/>
            <w:hideMark/>
          </w:tcPr>
          <w:p w14:paraId="07AE6E0D" w14:textId="77777777" w:rsidR="00847F65" w:rsidRPr="00090E3A" w:rsidRDefault="00847F65" w:rsidP="00090E3A">
            <w:pPr>
              <w:jc w:val="center"/>
              <w:rPr>
                <w:color w:val="000000"/>
                <w:sz w:val="18"/>
                <w:szCs w:val="18"/>
              </w:rPr>
            </w:pPr>
            <w:r w:rsidRPr="00090E3A">
              <w:rPr>
                <w:color w:val="000000"/>
                <w:sz w:val="18"/>
                <w:szCs w:val="18"/>
              </w:rPr>
              <w:t>-0.709***</w:t>
            </w:r>
          </w:p>
        </w:tc>
        <w:tc>
          <w:tcPr>
            <w:tcW w:w="505" w:type="pct"/>
            <w:tcBorders>
              <w:top w:val="nil"/>
              <w:left w:val="single" w:sz="4" w:space="0" w:color="auto"/>
              <w:bottom w:val="nil"/>
              <w:right w:val="nil"/>
            </w:tcBorders>
            <w:shd w:val="clear" w:color="auto" w:fill="auto"/>
            <w:noWrap/>
            <w:vAlign w:val="center"/>
            <w:hideMark/>
          </w:tcPr>
          <w:p w14:paraId="49C09C7F" w14:textId="77777777" w:rsidR="00847F65" w:rsidRPr="00090E3A" w:rsidRDefault="00847F65" w:rsidP="00090E3A">
            <w:pPr>
              <w:jc w:val="center"/>
              <w:rPr>
                <w:color w:val="000000"/>
                <w:sz w:val="18"/>
                <w:szCs w:val="18"/>
              </w:rPr>
            </w:pPr>
            <w:r w:rsidRPr="00090E3A">
              <w:rPr>
                <w:color w:val="000000"/>
                <w:sz w:val="18"/>
                <w:szCs w:val="18"/>
              </w:rPr>
              <w:t>-0.190***</w:t>
            </w:r>
          </w:p>
        </w:tc>
        <w:tc>
          <w:tcPr>
            <w:tcW w:w="505" w:type="pct"/>
            <w:tcBorders>
              <w:top w:val="nil"/>
              <w:left w:val="nil"/>
              <w:bottom w:val="nil"/>
              <w:right w:val="nil"/>
            </w:tcBorders>
            <w:shd w:val="clear" w:color="auto" w:fill="auto"/>
            <w:noWrap/>
            <w:vAlign w:val="center"/>
            <w:hideMark/>
          </w:tcPr>
          <w:p w14:paraId="7D40A1AE" w14:textId="77777777" w:rsidR="00847F65" w:rsidRPr="00090E3A" w:rsidRDefault="00847F65" w:rsidP="00090E3A">
            <w:pPr>
              <w:jc w:val="center"/>
              <w:rPr>
                <w:color w:val="000000"/>
                <w:sz w:val="18"/>
                <w:szCs w:val="18"/>
              </w:rPr>
            </w:pPr>
            <w:r w:rsidRPr="00090E3A">
              <w:rPr>
                <w:color w:val="000000"/>
                <w:sz w:val="18"/>
                <w:szCs w:val="18"/>
              </w:rPr>
              <w:t>-0.205***</w:t>
            </w:r>
          </w:p>
        </w:tc>
        <w:tc>
          <w:tcPr>
            <w:tcW w:w="505" w:type="pct"/>
            <w:tcBorders>
              <w:top w:val="nil"/>
              <w:left w:val="nil"/>
              <w:bottom w:val="nil"/>
              <w:right w:val="nil"/>
            </w:tcBorders>
            <w:shd w:val="clear" w:color="auto" w:fill="auto"/>
            <w:noWrap/>
            <w:vAlign w:val="center"/>
            <w:hideMark/>
          </w:tcPr>
          <w:p w14:paraId="33877F7B" w14:textId="77777777" w:rsidR="00847F65" w:rsidRPr="00090E3A" w:rsidRDefault="00847F65" w:rsidP="00090E3A">
            <w:pPr>
              <w:jc w:val="center"/>
              <w:rPr>
                <w:color w:val="000000"/>
                <w:sz w:val="18"/>
                <w:szCs w:val="18"/>
              </w:rPr>
            </w:pPr>
            <w:r w:rsidRPr="00090E3A">
              <w:rPr>
                <w:color w:val="000000"/>
                <w:sz w:val="18"/>
                <w:szCs w:val="18"/>
              </w:rPr>
              <w:t>-0.637***</w:t>
            </w:r>
          </w:p>
        </w:tc>
        <w:tc>
          <w:tcPr>
            <w:tcW w:w="503" w:type="pct"/>
            <w:tcBorders>
              <w:top w:val="nil"/>
              <w:left w:val="nil"/>
              <w:bottom w:val="nil"/>
              <w:right w:val="nil"/>
            </w:tcBorders>
            <w:shd w:val="clear" w:color="auto" w:fill="auto"/>
            <w:noWrap/>
            <w:vAlign w:val="center"/>
            <w:hideMark/>
          </w:tcPr>
          <w:p w14:paraId="7032617B" w14:textId="77777777" w:rsidR="00847F65" w:rsidRPr="00090E3A" w:rsidRDefault="00847F65" w:rsidP="00090E3A">
            <w:pPr>
              <w:jc w:val="center"/>
              <w:rPr>
                <w:color w:val="000000"/>
                <w:sz w:val="18"/>
                <w:szCs w:val="18"/>
              </w:rPr>
            </w:pPr>
            <w:r w:rsidRPr="00090E3A">
              <w:rPr>
                <w:color w:val="000000"/>
                <w:sz w:val="18"/>
                <w:szCs w:val="18"/>
              </w:rPr>
              <w:t>-0.686***</w:t>
            </w:r>
          </w:p>
        </w:tc>
      </w:tr>
      <w:tr w:rsidR="00847F65" w:rsidRPr="00090E3A" w14:paraId="5FD9B692" w14:textId="77777777" w:rsidTr="00EF3882">
        <w:trPr>
          <w:trHeight w:val="300"/>
        </w:trPr>
        <w:tc>
          <w:tcPr>
            <w:tcW w:w="965" w:type="pct"/>
            <w:tcBorders>
              <w:top w:val="nil"/>
              <w:left w:val="nil"/>
              <w:bottom w:val="nil"/>
              <w:right w:val="nil"/>
            </w:tcBorders>
            <w:shd w:val="clear" w:color="auto" w:fill="auto"/>
            <w:noWrap/>
            <w:vAlign w:val="center"/>
            <w:hideMark/>
          </w:tcPr>
          <w:p w14:paraId="44EB79BC" w14:textId="77777777" w:rsidR="00847F65" w:rsidRPr="00090E3A" w:rsidRDefault="00847F65" w:rsidP="00090E3A">
            <w:pPr>
              <w:jc w:val="center"/>
              <w:rPr>
                <w:color w:val="000000"/>
                <w:sz w:val="18"/>
                <w:szCs w:val="18"/>
              </w:rPr>
            </w:pPr>
          </w:p>
        </w:tc>
        <w:tc>
          <w:tcPr>
            <w:tcW w:w="504" w:type="pct"/>
            <w:tcBorders>
              <w:top w:val="nil"/>
              <w:left w:val="nil"/>
              <w:bottom w:val="nil"/>
              <w:right w:val="nil"/>
            </w:tcBorders>
            <w:shd w:val="clear" w:color="auto" w:fill="auto"/>
            <w:noWrap/>
            <w:vAlign w:val="center"/>
            <w:hideMark/>
          </w:tcPr>
          <w:p w14:paraId="18AA0A0D" w14:textId="77777777" w:rsidR="00847F65" w:rsidRPr="00090E3A" w:rsidRDefault="00847F65" w:rsidP="00090E3A">
            <w:pPr>
              <w:jc w:val="center"/>
              <w:rPr>
                <w:color w:val="000000"/>
                <w:sz w:val="18"/>
                <w:szCs w:val="18"/>
              </w:rPr>
            </w:pPr>
            <w:r w:rsidRPr="00090E3A">
              <w:rPr>
                <w:color w:val="000000"/>
                <w:sz w:val="18"/>
                <w:szCs w:val="18"/>
              </w:rPr>
              <w:t>(0.0133)</w:t>
            </w:r>
          </w:p>
        </w:tc>
        <w:tc>
          <w:tcPr>
            <w:tcW w:w="504" w:type="pct"/>
            <w:tcBorders>
              <w:top w:val="nil"/>
              <w:left w:val="nil"/>
              <w:bottom w:val="nil"/>
              <w:right w:val="nil"/>
            </w:tcBorders>
            <w:shd w:val="clear" w:color="auto" w:fill="auto"/>
            <w:noWrap/>
            <w:vAlign w:val="center"/>
            <w:hideMark/>
          </w:tcPr>
          <w:p w14:paraId="4E5045A6" w14:textId="77777777" w:rsidR="00847F65" w:rsidRPr="00090E3A" w:rsidRDefault="00847F65" w:rsidP="00090E3A">
            <w:pPr>
              <w:jc w:val="center"/>
              <w:rPr>
                <w:color w:val="000000"/>
                <w:sz w:val="18"/>
                <w:szCs w:val="18"/>
              </w:rPr>
            </w:pPr>
            <w:r w:rsidRPr="00090E3A">
              <w:rPr>
                <w:color w:val="000000"/>
                <w:sz w:val="18"/>
                <w:szCs w:val="18"/>
              </w:rPr>
              <w:t>(0.0118)</w:t>
            </w:r>
          </w:p>
        </w:tc>
        <w:tc>
          <w:tcPr>
            <w:tcW w:w="504" w:type="pct"/>
            <w:tcBorders>
              <w:top w:val="nil"/>
              <w:left w:val="nil"/>
              <w:bottom w:val="nil"/>
              <w:right w:val="nil"/>
            </w:tcBorders>
            <w:shd w:val="clear" w:color="auto" w:fill="auto"/>
            <w:noWrap/>
            <w:vAlign w:val="center"/>
            <w:hideMark/>
          </w:tcPr>
          <w:p w14:paraId="788CE298" w14:textId="77777777" w:rsidR="00847F65" w:rsidRPr="00090E3A" w:rsidRDefault="00847F65" w:rsidP="00090E3A">
            <w:pPr>
              <w:jc w:val="center"/>
              <w:rPr>
                <w:color w:val="000000"/>
                <w:sz w:val="18"/>
                <w:szCs w:val="18"/>
              </w:rPr>
            </w:pPr>
            <w:r w:rsidRPr="00090E3A">
              <w:rPr>
                <w:color w:val="000000"/>
                <w:sz w:val="18"/>
                <w:szCs w:val="18"/>
              </w:rPr>
              <w:t>(0.0194)</w:t>
            </w:r>
          </w:p>
        </w:tc>
        <w:tc>
          <w:tcPr>
            <w:tcW w:w="505" w:type="pct"/>
            <w:tcBorders>
              <w:top w:val="nil"/>
              <w:left w:val="nil"/>
              <w:bottom w:val="nil"/>
              <w:right w:val="nil"/>
            </w:tcBorders>
            <w:shd w:val="clear" w:color="auto" w:fill="auto"/>
            <w:noWrap/>
            <w:vAlign w:val="center"/>
            <w:hideMark/>
          </w:tcPr>
          <w:p w14:paraId="4FDDD3A2" w14:textId="77777777" w:rsidR="00847F65" w:rsidRPr="00090E3A" w:rsidRDefault="00847F65" w:rsidP="00090E3A">
            <w:pPr>
              <w:jc w:val="center"/>
              <w:rPr>
                <w:color w:val="000000"/>
                <w:sz w:val="18"/>
                <w:szCs w:val="18"/>
              </w:rPr>
            </w:pPr>
            <w:r w:rsidRPr="00090E3A">
              <w:rPr>
                <w:color w:val="000000"/>
                <w:sz w:val="18"/>
                <w:szCs w:val="18"/>
              </w:rPr>
              <w:t>(0.0174)</w:t>
            </w:r>
          </w:p>
        </w:tc>
        <w:tc>
          <w:tcPr>
            <w:tcW w:w="505" w:type="pct"/>
            <w:tcBorders>
              <w:top w:val="nil"/>
              <w:left w:val="single" w:sz="4" w:space="0" w:color="auto"/>
              <w:bottom w:val="nil"/>
              <w:right w:val="nil"/>
            </w:tcBorders>
            <w:shd w:val="clear" w:color="auto" w:fill="auto"/>
            <w:noWrap/>
            <w:vAlign w:val="center"/>
            <w:hideMark/>
          </w:tcPr>
          <w:p w14:paraId="0C0CD5C8" w14:textId="77777777" w:rsidR="00847F65" w:rsidRPr="00090E3A" w:rsidRDefault="00847F65" w:rsidP="00090E3A">
            <w:pPr>
              <w:jc w:val="center"/>
              <w:rPr>
                <w:color w:val="000000"/>
                <w:sz w:val="18"/>
                <w:szCs w:val="18"/>
              </w:rPr>
            </w:pPr>
            <w:r w:rsidRPr="00090E3A">
              <w:rPr>
                <w:color w:val="000000"/>
                <w:sz w:val="18"/>
                <w:szCs w:val="18"/>
              </w:rPr>
              <w:t>(0.0134)</w:t>
            </w:r>
          </w:p>
        </w:tc>
        <w:tc>
          <w:tcPr>
            <w:tcW w:w="505" w:type="pct"/>
            <w:tcBorders>
              <w:top w:val="nil"/>
              <w:left w:val="nil"/>
              <w:bottom w:val="nil"/>
              <w:right w:val="nil"/>
            </w:tcBorders>
            <w:shd w:val="clear" w:color="auto" w:fill="auto"/>
            <w:noWrap/>
            <w:vAlign w:val="center"/>
            <w:hideMark/>
          </w:tcPr>
          <w:p w14:paraId="63720AA8" w14:textId="77777777" w:rsidR="00847F65" w:rsidRPr="00090E3A" w:rsidRDefault="00847F65" w:rsidP="00090E3A">
            <w:pPr>
              <w:jc w:val="center"/>
              <w:rPr>
                <w:color w:val="000000"/>
                <w:sz w:val="18"/>
                <w:szCs w:val="18"/>
              </w:rPr>
            </w:pPr>
            <w:r w:rsidRPr="00090E3A">
              <w:rPr>
                <w:color w:val="000000"/>
                <w:sz w:val="18"/>
                <w:szCs w:val="18"/>
              </w:rPr>
              <w:t>(0.0119)</w:t>
            </w:r>
          </w:p>
        </w:tc>
        <w:tc>
          <w:tcPr>
            <w:tcW w:w="505" w:type="pct"/>
            <w:tcBorders>
              <w:top w:val="nil"/>
              <w:left w:val="nil"/>
              <w:bottom w:val="nil"/>
              <w:right w:val="nil"/>
            </w:tcBorders>
            <w:shd w:val="clear" w:color="auto" w:fill="auto"/>
            <w:noWrap/>
            <w:vAlign w:val="center"/>
            <w:hideMark/>
          </w:tcPr>
          <w:p w14:paraId="290FC74B" w14:textId="77777777" w:rsidR="00847F65" w:rsidRPr="00090E3A" w:rsidRDefault="00847F65" w:rsidP="00090E3A">
            <w:pPr>
              <w:jc w:val="center"/>
              <w:rPr>
                <w:color w:val="000000"/>
                <w:sz w:val="18"/>
                <w:szCs w:val="18"/>
              </w:rPr>
            </w:pPr>
            <w:r w:rsidRPr="00090E3A">
              <w:rPr>
                <w:color w:val="000000"/>
                <w:sz w:val="18"/>
                <w:szCs w:val="18"/>
              </w:rPr>
              <w:t>(0.0197)</w:t>
            </w:r>
          </w:p>
        </w:tc>
        <w:tc>
          <w:tcPr>
            <w:tcW w:w="503" w:type="pct"/>
            <w:tcBorders>
              <w:top w:val="nil"/>
              <w:left w:val="nil"/>
              <w:bottom w:val="nil"/>
              <w:right w:val="nil"/>
            </w:tcBorders>
            <w:shd w:val="clear" w:color="auto" w:fill="auto"/>
            <w:noWrap/>
            <w:vAlign w:val="center"/>
            <w:hideMark/>
          </w:tcPr>
          <w:p w14:paraId="5D5D502D" w14:textId="77777777" w:rsidR="00847F65" w:rsidRPr="00090E3A" w:rsidRDefault="00847F65" w:rsidP="00090E3A">
            <w:pPr>
              <w:jc w:val="center"/>
              <w:rPr>
                <w:color w:val="000000"/>
                <w:sz w:val="18"/>
                <w:szCs w:val="18"/>
              </w:rPr>
            </w:pPr>
            <w:r w:rsidRPr="00090E3A">
              <w:rPr>
                <w:color w:val="000000"/>
                <w:sz w:val="18"/>
                <w:szCs w:val="18"/>
              </w:rPr>
              <w:t>(0.0177)</w:t>
            </w:r>
          </w:p>
        </w:tc>
      </w:tr>
      <w:tr w:rsidR="00847F65" w:rsidRPr="00090E3A" w14:paraId="5A947793" w14:textId="77777777" w:rsidTr="00EF3882">
        <w:trPr>
          <w:trHeight w:val="300"/>
        </w:trPr>
        <w:tc>
          <w:tcPr>
            <w:tcW w:w="965" w:type="pct"/>
            <w:tcBorders>
              <w:top w:val="nil"/>
              <w:left w:val="nil"/>
              <w:bottom w:val="nil"/>
              <w:right w:val="nil"/>
            </w:tcBorders>
            <w:shd w:val="clear" w:color="auto" w:fill="auto"/>
            <w:noWrap/>
            <w:vAlign w:val="center"/>
            <w:hideMark/>
          </w:tcPr>
          <w:p w14:paraId="3E3DF247" w14:textId="77777777" w:rsidR="00847F65" w:rsidRPr="00090E3A" w:rsidRDefault="00847F65" w:rsidP="00090E3A">
            <w:pPr>
              <w:jc w:val="center"/>
              <w:rPr>
                <w:color w:val="000000"/>
                <w:sz w:val="18"/>
                <w:szCs w:val="18"/>
              </w:rPr>
            </w:pPr>
            <m:oMathPara>
              <m:oMath>
                <m:r>
                  <w:rPr>
                    <w:rFonts w:ascii="Cambria Math" w:hAnsi="Cambria Math"/>
                    <w:color w:val="000000"/>
                    <w:sz w:val="18"/>
                    <w:szCs w:val="18"/>
                  </w:rPr>
                  <m:t xml:space="preserve">∆ </m:t>
                </m:r>
                <m:sSub>
                  <m:sSubPr>
                    <m:ctrlPr>
                      <w:rPr>
                        <w:rFonts w:ascii="Cambria Math" w:hAnsi="Cambria Math"/>
                        <w:i/>
                        <w:color w:val="000000"/>
                        <w:sz w:val="18"/>
                        <w:szCs w:val="18"/>
                      </w:rPr>
                    </m:ctrlPr>
                  </m:sSubPr>
                  <m:e>
                    <m:r>
                      <w:rPr>
                        <w:rFonts w:ascii="Cambria Math" w:hAnsi="Cambria Math"/>
                        <w:color w:val="000000"/>
                        <w:sz w:val="18"/>
                        <w:szCs w:val="18"/>
                      </w:rPr>
                      <m:t>port cont</m:t>
                    </m:r>
                  </m:e>
                  <m:sub>
                    <m:r>
                      <w:rPr>
                        <w:rFonts w:ascii="Cambria Math" w:hAnsi="Cambria Math"/>
                        <w:color w:val="000000"/>
                        <w:sz w:val="18"/>
                        <w:szCs w:val="18"/>
                      </w:rPr>
                      <m:t>ij,t+1</m:t>
                    </m:r>
                  </m:sub>
                </m:sSub>
              </m:oMath>
            </m:oMathPara>
          </w:p>
        </w:tc>
        <w:tc>
          <w:tcPr>
            <w:tcW w:w="504" w:type="pct"/>
            <w:tcBorders>
              <w:top w:val="nil"/>
              <w:left w:val="nil"/>
              <w:bottom w:val="nil"/>
              <w:right w:val="nil"/>
            </w:tcBorders>
            <w:shd w:val="clear" w:color="auto" w:fill="auto"/>
            <w:noWrap/>
            <w:vAlign w:val="center"/>
            <w:hideMark/>
          </w:tcPr>
          <w:p w14:paraId="69847591" w14:textId="77777777" w:rsidR="00847F65" w:rsidRPr="00090E3A" w:rsidRDefault="00847F65" w:rsidP="00090E3A">
            <w:pPr>
              <w:jc w:val="center"/>
              <w:rPr>
                <w:color w:val="000000"/>
                <w:sz w:val="18"/>
                <w:szCs w:val="18"/>
              </w:rPr>
            </w:pPr>
            <w:r w:rsidRPr="00090E3A">
              <w:rPr>
                <w:color w:val="000000"/>
                <w:sz w:val="18"/>
                <w:szCs w:val="18"/>
              </w:rPr>
              <w:t>0.228***</w:t>
            </w:r>
          </w:p>
        </w:tc>
        <w:tc>
          <w:tcPr>
            <w:tcW w:w="504" w:type="pct"/>
            <w:tcBorders>
              <w:top w:val="nil"/>
              <w:left w:val="nil"/>
              <w:bottom w:val="nil"/>
              <w:right w:val="nil"/>
            </w:tcBorders>
            <w:shd w:val="clear" w:color="auto" w:fill="auto"/>
            <w:noWrap/>
            <w:vAlign w:val="center"/>
            <w:hideMark/>
          </w:tcPr>
          <w:p w14:paraId="199F2B79" w14:textId="77777777" w:rsidR="00847F65" w:rsidRPr="00090E3A" w:rsidRDefault="00847F65" w:rsidP="00090E3A">
            <w:pPr>
              <w:jc w:val="center"/>
              <w:rPr>
                <w:color w:val="000000"/>
                <w:sz w:val="18"/>
                <w:szCs w:val="18"/>
              </w:rPr>
            </w:pPr>
            <w:r w:rsidRPr="00090E3A">
              <w:rPr>
                <w:color w:val="000000"/>
                <w:sz w:val="18"/>
                <w:szCs w:val="18"/>
              </w:rPr>
              <w:t>0.226***</w:t>
            </w:r>
          </w:p>
        </w:tc>
        <w:tc>
          <w:tcPr>
            <w:tcW w:w="504" w:type="pct"/>
            <w:tcBorders>
              <w:top w:val="nil"/>
              <w:left w:val="nil"/>
              <w:bottom w:val="nil"/>
              <w:right w:val="nil"/>
            </w:tcBorders>
            <w:shd w:val="clear" w:color="auto" w:fill="auto"/>
            <w:noWrap/>
            <w:vAlign w:val="center"/>
            <w:hideMark/>
          </w:tcPr>
          <w:p w14:paraId="0A5374BC" w14:textId="77777777" w:rsidR="00847F65" w:rsidRPr="00090E3A" w:rsidRDefault="00847F65" w:rsidP="00090E3A">
            <w:pPr>
              <w:jc w:val="center"/>
              <w:rPr>
                <w:color w:val="000000"/>
                <w:sz w:val="18"/>
                <w:szCs w:val="18"/>
              </w:rPr>
            </w:pPr>
            <w:r w:rsidRPr="00090E3A">
              <w:rPr>
                <w:color w:val="000000"/>
                <w:sz w:val="18"/>
                <w:szCs w:val="18"/>
              </w:rPr>
              <w:t>0.212***</w:t>
            </w:r>
          </w:p>
        </w:tc>
        <w:tc>
          <w:tcPr>
            <w:tcW w:w="505" w:type="pct"/>
            <w:tcBorders>
              <w:top w:val="nil"/>
              <w:left w:val="nil"/>
              <w:bottom w:val="nil"/>
              <w:right w:val="nil"/>
            </w:tcBorders>
            <w:shd w:val="clear" w:color="auto" w:fill="auto"/>
            <w:noWrap/>
            <w:vAlign w:val="center"/>
            <w:hideMark/>
          </w:tcPr>
          <w:p w14:paraId="3EB2177B" w14:textId="77777777" w:rsidR="00847F65" w:rsidRPr="00090E3A" w:rsidRDefault="00847F65" w:rsidP="00090E3A">
            <w:pPr>
              <w:jc w:val="center"/>
              <w:rPr>
                <w:color w:val="000000"/>
                <w:sz w:val="18"/>
                <w:szCs w:val="18"/>
              </w:rPr>
            </w:pPr>
            <w:r w:rsidRPr="00090E3A">
              <w:rPr>
                <w:color w:val="000000"/>
                <w:sz w:val="18"/>
                <w:szCs w:val="18"/>
              </w:rPr>
              <w:t>0.206***</w:t>
            </w:r>
          </w:p>
        </w:tc>
        <w:tc>
          <w:tcPr>
            <w:tcW w:w="505" w:type="pct"/>
            <w:tcBorders>
              <w:top w:val="nil"/>
              <w:left w:val="single" w:sz="4" w:space="0" w:color="auto"/>
              <w:bottom w:val="nil"/>
              <w:right w:val="nil"/>
            </w:tcBorders>
            <w:shd w:val="clear" w:color="auto" w:fill="auto"/>
            <w:noWrap/>
            <w:vAlign w:val="center"/>
            <w:hideMark/>
          </w:tcPr>
          <w:p w14:paraId="513B9297" w14:textId="77777777" w:rsidR="00847F65" w:rsidRPr="00090E3A" w:rsidRDefault="00847F65" w:rsidP="00090E3A">
            <w:pPr>
              <w:jc w:val="center"/>
              <w:rPr>
                <w:color w:val="000000"/>
                <w:sz w:val="18"/>
                <w:szCs w:val="18"/>
              </w:rPr>
            </w:pPr>
            <w:r w:rsidRPr="00090E3A">
              <w:rPr>
                <w:color w:val="000000"/>
                <w:sz w:val="18"/>
                <w:szCs w:val="18"/>
              </w:rPr>
              <w:t>0.235***</w:t>
            </w:r>
          </w:p>
        </w:tc>
        <w:tc>
          <w:tcPr>
            <w:tcW w:w="505" w:type="pct"/>
            <w:tcBorders>
              <w:top w:val="nil"/>
              <w:left w:val="nil"/>
              <w:bottom w:val="nil"/>
              <w:right w:val="nil"/>
            </w:tcBorders>
            <w:shd w:val="clear" w:color="auto" w:fill="auto"/>
            <w:noWrap/>
            <w:vAlign w:val="center"/>
            <w:hideMark/>
          </w:tcPr>
          <w:p w14:paraId="75737A94" w14:textId="77777777" w:rsidR="00847F65" w:rsidRPr="00090E3A" w:rsidRDefault="00847F65" w:rsidP="00090E3A">
            <w:pPr>
              <w:jc w:val="center"/>
              <w:rPr>
                <w:color w:val="000000"/>
                <w:sz w:val="18"/>
                <w:szCs w:val="18"/>
              </w:rPr>
            </w:pPr>
            <w:r w:rsidRPr="00090E3A">
              <w:rPr>
                <w:color w:val="000000"/>
                <w:sz w:val="18"/>
                <w:szCs w:val="18"/>
              </w:rPr>
              <w:t>0.237***</w:t>
            </w:r>
          </w:p>
        </w:tc>
        <w:tc>
          <w:tcPr>
            <w:tcW w:w="505" w:type="pct"/>
            <w:tcBorders>
              <w:top w:val="nil"/>
              <w:left w:val="nil"/>
              <w:bottom w:val="nil"/>
              <w:right w:val="nil"/>
            </w:tcBorders>
            <w:shd w:val="clear" w:color="auto" w:fill="auto"/>
            <w:noWrap/>
            <w:vAlign w:val="center"/>
            <w:hideMark/>
          </w:tcPr>
          <w:p w14:paraId="6A3263CB" w14:textId="77777777" w:rsidR="00847F65" w:rsidRPr="00090E3A" w:rsidRDefault="00847F65" w:rsidP="00090E3A">
            <w:pPr>
              <w:jc w:val="center"/>
              <w:rPr>
                <w:color w:val="000000"/>
                <w:sz w:val="18"/>
                <w:szCs w:val="18"/>
              </w:rPr>
            </w:pPr>
            <w:r w:rsidRPr="00090E3A">
              <w:rPr>
                <w:color w:val="000000"/>
                <w:sz w:val="18"/>
                <w:szCs w:val="18"/>
              </w:rPr>
              <w:t>0.218***</w:t>
            </w:r>
          </w:p>
        </w:tc>
        <w:tc>
          <w:tcPr>
            <w:tcW w:w="503" w:type="pct"/>
            <w:tcBorders>
              <w:top w:val="nil"/>
              <w:left w:val="nil"/>
              <w:bottom w:val="nil"/>
              <w:right w:val="nil"/>
            </w:tcBorders>
            <w:shd w:val="clear" w:color="auto" w:fill="auto"/>
            <w:noWrap/>
            <w:vAlign w:val="center"/>
            <w:hideMark/>
          </w:tcPr>
          <w:p w14:paraId="2A2B4F78" w14:textId="77777777" w:rsidR="00847F65" w:rsidRPr="00090E3A" w:rsidRDefault="00847F65" w:rsidP="00090E3A">
            <w:pPr>
              <w:jc w:val="center"/>
              <w:rPr>
                <w:color w:val="000000"/>
                <w:sz w:val="18"/>
                <w:szCs w:val="18"/>
              </w:rPr>
            </w:pPr>
            <w:r w:rsidRPr="00090E3A">
              <w:rPr>
                <w:color w:val="000000"/>
                <w:sz w:val="18"/>
                <w:szCs w:val="18"/>
              </w:rPr>
              <w:t>0.217***</w:t>
            </w:r>
          </w:p>
        </w:tc>
      </w:tr>
      <w:tr w:rsidR="00847F65" w:rsidRPr="00090E3A" w14:paraId="67D762FB" w14:textId="77777777" w:rsidTr="00EF3882">
        <w:trPr>
          <w:trHeight w:val="300"/>
        </w:trPr>
        <w:tc>
          <w:tcPr>
            <w:tcW w:w="965" w:type="pct"/>
            <w:tcBorders>
              <w:top w:val="nil"/>
              <w:left w:val="nil"/>
              <w:bottom w:val="nil"/>
              <w:right w:val="nil"/>
            </w:tcBorders>
            <w:shd w:val="clear" w:color="auto" w:fill="auto"/>
            <w:noWrap/>
            <w:vAlign w:val="center"/>
            <w:hideMark/>
          </w:tcPr>
          <w:p w14:paraId="0CBC1919" w14:textId="77777777" w:rsidR="00847F65" w:rsidRPr="00090E3A" w:rsidRDefault="00847F65" w:rsidP="00090E3A">
            <w:pPr>
              <w:jc w:val="center"/>
              <w:rPr>
                <w:color w:val="000000"/>
                <w:sz w:val="18"/>
                <w:szCs w:val="18"/>
              </w:rPr>
            </w:pPr>
          </w:p>
        </w:tc>
        <w:tc>
          <w:tcPr>
            <w:tcW w:w="504" w:type="pct"/>
            <w:tcBorders>
              <w:top w:val="nil"/>
              <w:left w:val="nil"/>
              <w:bottom w:val="nil"/>
              <w:right w:val="nil"/>
            </w:tcBorders>
            <w:shd w:val="clear" w:color="auto" w:fill="auto"/>
            <w:noWrap/>
            <w:vAlign w:val="center"/>
            <w:hideMark/>
          </w:tcPr>
          <w:p w14:paraId="271B8DA1" w14:textId="77777777" w:rsidR="00847F65" w:rsidRPr="00090E3A" w:rsidRDefault="00847F65" w:rsidP="00090E3A">
            <w:pPr>
              <w:jc w:val="center"/>
              <w:rPr>
                <w:color w:val="000000"/>
                <w:sz w:val="18"/>
                <w:szCs w:val="18"/>
              </w:rPr>
            </w:pPr>
            <w:r w:rsidRPr="00090E3A">
              <w:rPr>
                <w:color w:val="000000"/>
                <w:sz w:val="18"/>
                <w:szCs w:val="18"/>
              </w:rPr>
              <w:t>(0.0089)</w:t>
            </w:r>
          </w:p>
        </w:tc>
        <w:tc>
          <w:tcPr>
            <w:tcW w:w="504" w:type="pct"/>
            <w:tcBorders>
              <w:top w:val="nil"/>
              <w:left w:val="nil"/>
              <w:bottom w:val="nil"/>
              <w:right w:val="nil"/>
            </w:tcBorders>
            <w:shd w:val="clear" w:color="auto" w:fill="auto"/>
            <w:noWrap/>
            <w:vAlign w:val="center"/>
            <w:hideMark/>
          </w:tcPr>
          <w:p w14:paraId="67152025" w14:textId="77777777" w:rsidR="00847F65" w:rsidRPr="00090E3A" w:rsidRDefault="00847F65" w:rsidP="00090E3A">
            <w:pPr>
              <w:jc w:val="center"/>
              <w:rPr>
                <w:color w:val="000000"/>
                <w:sz w:val="18"/>
                <w:szCs w:val="18"/>
              </w:rPr>
            </w:pPr>
            <w:r w:rsidRPr="00090E3A">
              <w:rPr>
                <w:color w:val="000000"/>
                <w:sz w:val="18"/>
                <w:szCs w:val="18"/>
              </w:rPr>
              <w:t>(0.0080)</w:t>
            </w:r>
          </w:p>
        </w:tc>
        <w:tc>
          <w:tcPr>
            <w:tcW w:w="504" w:type="pct"/>
            <w:tcBorders>
              <w:top w:val="nil"/>
              <w:left w:val="nil"/>
              <w:bottom w:val="nil"/>
              <w:right w:val="nil"/>
            </w:tcBorders>
            <w:shd w:val="clear" w:color="auto" w:fill="auto"/>
            <w:noWrap/>
            <w:vAlign w:val="center"/>
            <w:hideMark/>
          </w:tcPr>
          <w:p w14:paraId="307F104C" w14:textId="77777777" w:rsidR="00847F65" w:rsidRPr="00090E3A" w:rsidRDefault="00847F65" w:rsidP="00090E3A">
            <w:pPr>
              <w:jc w:val="center"/>
              <w:rPr>
                <w:color w:val="000000"/>
                <w:sz w:val="18"/>
                <w:szCs w:val="18"/>
              </w:rPr>
            </w:pPr>
            <w:r w:rsidRPr="00090E3A">
              <w:rPr>
                <w:color w:val="000000"/>
                <w:sz w:val="18"/>
                <w:szCs w:val="18"/>
              </w:rPr>
              <w:t>(0.0096)</w:t>
            </w:r>
          </w:p>
        </w:tc>
        <w:tc>
          <w:tcPr>
            <w:tcW w:w="505" w:type="pct"/>
            <w:tcBorders>
              <w:top w:val="nil"/>
              <w:left w:val="nil"/>
              <w:bottom w:val="nil"/>
              <w:right w:val="nil"/>
            </w:tcBorders>
            <w:shd w:val="clear" w:color="auto" w:fill="auto"/>
            <w:noWrap/>
            <w:vAlign w:val="center"/>
            <w:hideMark/>
          </w:tcPr>
          <w:p w14:paraId="15A0F9D2" w14:textId="77777777" w:rsidR="00847F65" w:rsidRPr="00090E3A" w:rsidRDefault="00847F65" w:rsidP="00090E3A">
            <w:pPr>
              <w:jc w:val="center"/>
              <w:rPr>
                <w:color w:val="000000"/>
                <w:sz w:val="18"/>
                <w:szCs w:val="18"/>
              </w:rPr>
            </w:pPr>
            <w:r w:rsidRPr="00090E3A">
              <w:rPr>
                <w:color w:val="000000"/>
                <w:sz w:val="18"/>
                <w:szCs w:val="18"/>
              </w:rPr>
              <w:t>(0.0086)</w:t>
            </w:r>
          </w:p>
        </w:tc>
        <w:tc>
          <w:tcPr>
            <w:tcW w:w="505" w:type="pct"/>
            <w:tcBorders>
              <w:top w:val="nil"/>
              <w:left w:val="single" w:sz="4" w:space="0" w:color="auto"/>
              <w:bottom w:val="nil"/>
              <w:right w:val="nil"/>
            </w:tcBorders>
            <w:shd w:val="clear" w:color="auto" w:fill="auto"/>
            <w:noWrap/>
            <w:vAlign w:val="center"/>
            <w:hideMark/>
          </w:tcPr>
          <w:p w14:paraId="5B9CA855" w14:textId="77777777" w:rsidR="00847F65" w:rsidRPr="00090E3A" w:rsidRDefault="00847F65" w:rsidP="00090E3A">
            <w:pPr>
              <w:jc w:val="center"/>
              <w:rPr>
                <w:color w:val="000000"/>
                <w:sz w:val="18"/>
                <w:szCs w:val="18"/>
              </w:rPr>
            </w:pPr>
            <w:r w:rsidRPr="00090E3A">
              <w:rPr>
                <w:color w:val="000000"/>
                <w:sz w:val="18"/>
                <w:szCs w:val="18"/>
              </w:rPr>
              <w:t>(0.0096)</w:t>
            </w:r>
          </w:p>
        </w:tc>
        <w:tc>
          <w:tcPr>
            <w:tcW w:w="505" w:type="pct"/>
            <w:tcBorders>
              <w:top w:val="nil"/>
              <w:left w:val="nil"/>
              <w:bottom w:val="nil"/>
              <w:right w:val="nil"/>
            </w:tcBorders>
            <w:shd w:val="clear" w:color="auto" w:fill="auto"/>
            <w:noWrap/>
            <w:vAlign w:val="center"/>
            <w:hideMark/>
          </w:tcPr>
          <w:p w14:paraId="23F2A3D1" w14:textId="77777777" w:rsidR="00847F65" w:rsidRPr="00090E3A" w:rsidRDefault="00847F65" w:rsidP="00090E3A">
            <w:pPr>
              <w:jc w:val="center"/>
              <w:rPr>
                <w:color w:val="000000"/>
                <w:sz w:val="18"/>
                <w:szCs w:val="18"/>
              </w:rPr>
            </w:pPr>
            <w:r w:rsidRPr="00090E3A">
              <w:rPr>
                <w:color w:val="000000"/>
                <w:sz w:val="18"/>
                <w:szCs w:val="18"/>
              </w:rPr>
              <w:t>(0.0087)</w:t>
            </w:r>
          </w:p>
        </w:tc>
        <w:tc>
          <w:tcPr>
            <w:tcW w:w="505" w:type="pct"/>
            <w:tcBorders>
              <w:top w:val="nil"/>
              <w:left w:val="nil"/>
              <w:bottom w:val="nil"/>
              <w:right w:val="nil"/>
            </w:tcBorders>
            <w:shd w:val="clear" w:color="auto" w:fill="auto"/>
            <w:noWrap/>
            <w:vAlign w:val="center"/>
            <w:hideMark/>
          </w:tcPr>
          <w:p w14:paraId="2E8341B9" w14:textId="77777777" w:rsidR="00847F65" w:rsidRPr="00090E3A" w:rsidRDefault="00847F65" w:rsidP="00090E3A">
            <w:pPr>
              <w:jc w:val="center"/>
              <w:rPr>
                <w:color w:val="000000"/>
                <w:sz w:val="18"/>
                <w:szCs w:val="18"/>
              </w:rPr>
            </w:pPr>
            <w:r w:rsidRPr="00090E3A">
              <w:rPr>
                <w:color w:val="000000"/>
                <w:sz w:val="18"/>
                <w:szCs w:val="18"/>
              </w:rPr>
              <w:t>(0.0104)</w:t>
            </w:r>
          </w:p>
        </w:tc>
        <w:tc>
          <w:tcPr>
            <w:tcW w:w="503" w:type="pct"/>
            <w:tcBorders>
              <w:top w:val="nil"/>
              <w:left w:val="nil"/>
              <w:bottom w:val="nil"/>
              <w:right w:val="nil"/>
            </w:tcBorders>
            <w:shd w:val="clear" w:color="auto" w:fill="auto"/>
            <w:noWrap/>
            <w:vAlign w:val="center"/>
            <w:hideMark/>
          </w:tcPr>
          <w:p w14:paraId="7C7D23E8" w14:textId="77777777" w:rsidR="00847F65" w:rsidRPr="00090E3A" w:rsidRDefault="00847F65" w:rsidP="00090E3A">
            <w:pPr>
              <w:jc w:val="center"/>
              <w:rPr>
                <w:color w:val="000000"/>
                <w:sz w:val="18"/>
                <w:szCs w:val="18"/>
              </w:rPr>
            </w:pPr>
            <w:r w:rsidRPr="00090E3A">
              <w:rPr>
                <w:color w:val="000000"/>
                <w:sz w:val="18"/>
                <w:szCs w:val="18"/>
              </w:rPr>
              <w:t>(0.0093)</w:t>
            </w:r>
          </w:p>
        </w:tc>
      </w:tr>
      <w:tr w:rsidR="00090E3A" w:rsidRPr="00090E3A" w14:paraId="67E5CB0E" w14:textId="77777777" w:rsidTr="00EF3882">
        <w:trPr>
          <w:trHeight w:val="300"/>
        </w:trPr>
        <w:tc>
          <w:tcPr>
            <w:tcW w:w="965" w:type="pct"/>
            <w:tcBorders>
              <w:top w:val="nil"/>
              <w:left w:val="nil"/>
              <w:bottom w:val="nil"/>
              <w:right w:val="nil"/>
            </w:tcBorders>
            <w:shd w:val="clear" w:color="auto" w:fill="auto"/>
            <w:noWrap/>
            <w:vAlign w:val="center"/>
          </w:tcPr>
          <w:p w14:paraId="4CFD2002" w14:textId="77777777" w:rsidR="00090E3A" w:rsidRPr="00090E3A" w:rsidRDefault="00090E3A" w:rsidP="00090E3A">
            <w:pPr>
              <w:jc w:val="center"/>
              <w:rPr>
                <w:i/>
                <w:color w:val="000000"/>
                <w:sz w:val="18"/>
                <w:szCs w:val="18"/>
              </w:rPr>
            </w:pPr>
          </w:p>
        </w:tc>
        <w:tc>
          <w:tcPr>
            <w:tcW w:w="504" w:type="pct"/>
            <w:tcBorders>
              <w:top w:val="nil"/>
              <w:left w:val="nil"/>
              <w:bottom w:val="nil"/>
              <w:right w:val="nil"/>
            </w:tcBorders>
            <w:shd w:val="clear" w:color="auto" w:fill="auto"/>
            <w:noWrap/>
            <w:vAlign w:val="center"/>
          </w:tcPr>
          <w:p w14:paraId="25C1CAFD" w14:textId="77777777" w:rsidR="00090E3A" w:rsidRPr="00090E3A" w:rsidRDefault="00090E3A" w:rsidP="00090E3A">
            <w:pPr>
              <w:jc w:val="center"/>
              <w:rPr>
                <w:i/>
                <w:color w:val="000000"/>
                <w:sz w:val="18"/>
                <w:szCs w:val="18"/>
              </w:rPr>
            </w:pPr>
          </w:p>
        </w:tc>
        <w:tc>
          <w:tcPr>
            <w:tcW w:w="504" w:type="pct"/>
            <w:tcBorders>
              <w:top w:val="nil"/>
              <w:left w:val="nil"/>
              <w:bottom w:val="nil"/>
              <w:right w:val="nil"/>
            </w:tcBorders>
            <w:shd w:val="clear" w:color="auto" w:fill="auto"/>
            <w:noWrap/>
            <w:vAlign w:val="center"/>
          </w:tcPr>
          <w:p w14:paraId="169512B8" w14:textId="77777777" w:rsidR="00090E3A" w:rsidRPr="00090E3A" w:rsidRDefault="00090E3A" w:rsidP="00090E3A">
            <w:pPr>
              <w:jc w:val="center"/>
              <w:rPr>
                <w:i/>
                <w:color w:val="000000"/>
                <w:sz w:val="18"/>
                <w:szCs w:val="18"/>
              </w:rPr>
            </w:pPr>
          </w:p>
        </w:tc>
        <w:tc>
          <w:tcPr>
            <w:tcW w:w="504" w:type="pct"/>
            <w:tcBorders>
              <w:top w:val="nil"/>
              <w:left w:val="nil"/>
              <w:bottom w:val="nil"/>
              <w:right w:val="nil"/>
            </w:tcBorders>
            <w:shd w:val="clear" w:color="auto" w:fill="auto"/>
            <w:noWrap/>
            <w:vAlign w:val="center"/>
          </w:tcPr>
          <w:p w14:paraId="6FFBE945" w14:textId="77777777" w:rsidR="00090E3A" w:rsidRPr="00090E3A" w:rsidRDefault="00090E3A" w:rsidP="00090E3A">
            <w:pPr>
              <w:jc w:val="center"/>
              <w:rPr>
                <w:i/>
                <w:color w:val="000000"/>
                <w:sz w:val="18"/>
                <w:szCs w:val="18"/>
              </w:rPr>
            </w:pPr>
          </w:p>
        </w:tc>
        <w:tc>
          <w:tcPr>
            <w:tcW w:w="505" w:type="pct"/>
            <w:tcBorders>
              <w:top w:val="nil"/>
              <w:left w:val="nil"/>
              <w:bottom w:val="nil"/>
              <w:right w:val="nil"/>
            </w:tcBorders>
            <w:shd w:val="clear" w:color="auto" w:fill="auto"/>
            <w:noWrap/>
            <w:vAlign w:val="center"/>
          </w:tcPr>
          <w:p w14:paraId="2E30E066" w14:textId="77777777" w:rsidR="00090E3A" w:rsidRPr="00090E3A" w:rsidRDefault="00090E3A" w:rsidP="00090E3A">
            <w:pPr>
              <w:jc w:val="center"/>
              <w:rPr>
                <w:i/>
                <w:color w:val="000000"/>
                <w:sz w:val="18"/>
                <w:szCs w:val="18"/>
              </w:rPr>
            </w:pPr>
          </w:p>
        </w:tc>
        <w:tc>
          <w:tcPr>
            <w:tcW w:w="505" w:type="pct"/>
            <w:tcBorders>
              <w:top w:val="nil"/>
              <w:left w:val="single" w:sz="4" w:space="0" w:color="auto"/>
              <w:bottom w:val="nil"/>
              <w:right w:val="nil"/>
            </w:tcBorders>
            <w:shd w:val="clear" w:color="auto" w:fill="auto"/>
            <w:noWrap/>
            <w:vAlign w:val="center"/>
          </w:tcPr>
          <w:p w14:paraId="241D64ED" w14:textId="77777777" w:rsidR="00090E3A" w:rsidRPr="00090E3A" w:rsidRDefault="00090E3A" w:rsidP="00090E3A">
            <w:pPr>
              <w:jc w:val="center"/>
              <w:rPr>
                <w:i/>
                <w:color w:val="000000"/>
                <w:sz w:val="18"/>
                <w:szCs w:val="18"/>
              </w:rPr>
            </w:pPr>
          </w:p>
        </w:tc>
        <w:tc>
          <w:tcPr>
            <w:tcW w:w="505" w:type="pct"/>
            <w:tcBorders>
              <w:top w:val="nil"/>
              <w:left w:val="nil"/>
              <w:bottom w:val="nil"/>
              <w:right w:val="nil"/>
            </w:tcBorders>
            <w:shd w:val="clear" w:color="auto" w:fill="auto"/>
            <w:noWrap/>
            <w:vAlign w:val="center"/>
          </w:tcPr>
          <w:p w14:paraId="16B59099" w14:textId="77777777" w:rsidR="00090E3A" w:rsidRPr="00090E3A" w:rsidRDefault="00090E3A" w:rsidP="00090E3A">
            <w:pPr>
              <w:jc w:val="center"/>
              <w:rPr>
                <w:i/>
                <w:color w:val="000000"/>
                <w:sz w:val="18"/>
                <w:szCs w:val="18"/>
              </w:rPr>
            </w:pPr>
          </w:p>
        </w:tc>
        <w:tc>
          <w:tcPr>
            <w:tcW w:w="505" w:type="pct"/>
            <w:tcBorders>
              <w:top w:val="nil"/>
              <w:left w:val="nil"/>
              <w:bottom w:val="nil"/>
              <w:right w:val="nil"/>
            </w:tcBorders>
            <w:shd w:val="clear" w:color="auto" w:fill="auto"/>
            <w:noWrap/>
            <w:vAlign w:val="center"/>
          </w:tcPr>
          <w:p w14:paraId="4E78EF69" w14:textId="77777777" w:rsidR="00090E3A" w:rsidRPr="00090E3A" w:rsidRDefault="00090E3A" w:rsidP="00090E3A">
            <w:pPr>
              <w:jc w:val="center"/>
              <w:rPr>
                <w:i/>
                <w:color w:val="000000"/>
                <w:sz w:val="18"/>
                <w:szCs w:val="18"/>
              </w:rPr>
            </w:pPr>
          </w:p>
        </w:tc>
        <w:tc>
          <w:tcPr>
            <w:tcW w:w="503" w:type="pct"/>
            <w:tcBorders>
              <w:top w:val="nil"/>
              <w:left w:val="nil"/>
              <w:bottom w:val="nil"/>
              <w:right w:val="nil"/>
            </w:tcBorders>
            <w:shd w:val="clear" w:color="auto" w:fill="auto"/>
            <w:noWrap/>
            <w:vAlign w:val="center"/>
          </w:tcPr>
          <w:p w14:paraId="108560F8" w14:textId="77777777" w:rsidR="00090E3A" w:rsidRPr="00090E3A" w:rsidRDefault="00090E3A" w:rsidP="00090E3A">
            <w:pPr>
              <w:jc w:val="center"/>
              <w:rPr>
                <w:i/>
                <w:color w:val="000000"/>
                <w:sz w:val="18"/>
                <w:szCs w:val="18"/>
              </w:rPr>
            </w:pPr>
          </w:p>
        </w:tc>
      </w:tr>
      <w:tr w:rsidR="00847F65" w:rsidRPr="00090E3A" w14:paraId="54A9E3BF" w14:textId="77777777" w:rsidTr="00EF3882">
        <w:trPr>
          <w:trHeight w:val="300"/>
        </w:trPr>
        <w:tc>
          <w:tcPr>
            <w:tcW w:w="965" w:type="pct"/>
            <w:tcBorders>
              <w:top w:val="nil"/>
              <w:left w:val="nil"/>
              <w:bottom w:val="nil"/>
              <w:right w:val="nil"/>
            </w:tcBorders>
            <w:shd w:val="clear" w:color="auto" w:fill="auto"/>
            <w:noWrap/>
            <w:vAlign w:val="center"/>
            <w:hideMark/>
          </w:tcPr>
          <w:p w14:paraId="75ABC46E" w14:textId="77777777" w:rsidR="00847F65" w:rsidRPr="00090E3A" w:rsidRDefault="00847F65" w:rsidP="005E2B4C">
            <w:pPr>
              <w:rPr>
                <w:i/>
                <w:color w:val="000000"/>
                <w:sz w:val="18"/>
                <w:szCs w:val="18"/>
              </w:rPr>
            </w:pPr>
            <w:r w:rsidRPr="00090E3A">
              <w:rPr>
                <w:i/>
                <w:color w:val="000000"/>
                <w:sz w:val="18"/>
                <w:szCs w:val="18"/>
              </w:rPr>
              <w:t>3 lags of GATT &amp; fta</w:t>
            </w:r>
          </w:p>
        </w:tc>
        <w:tc>
          <w:tcPr>
            <w:tcW w:w="504" w:type="pct"/>
            <w:tcBorders>
              <w:top w:val="nil"/>
              <w:left w:val="nil"/>
              <w:bottom w:val="nil"/>
              <w:right w:val="nil"/>
            </w:tcBorders>
            <w:shd w:val="clear" w:color="auto" w:fill="auto"/>
            <w:noWrap/>
            <w:vAlign w:val="center"/>
            <w:hideMark/>
          </w:tcPr>
          <w:p w14:paraId="599BA2D3" w14:textId="77777777" w:rsidR="00847F65" w:rsidRPr="00090E3A" w:rsidRDefault="00847F65" w:rsidP="00090E3A">
            <w:pPr>
              <w:jc w:val="center"/>
              <w:rPr>
                <w:i/>
                <w:color w:val="000000"/>
                <w:sz w:val="18"/>
                <w:szCs w:val="18"/>
              </w:rPr>
            </w:pPr>
            <w:r w:rsidRPr="00090E3A">
              <w:rPr>
                <w:i/>
                <w:color w:val="000000"/>
                <w:sz w:val="18"/>
                <w:szCs w:val="18"/>
              </w:rPr>
              <w:t>Yes</w:t>
            </w:r>
          </w:p>
        </w:tc>
        <w:tc>
          <w:tcPr>
            <w:tcW w:w="504" w:type="pct"/>
            <w:tcBorders>
              <w:top w:val="nil"/>
              <w:left w:val="nil"/>
              <w:bottom w:val="nil"/>
              <w:right w:val="nil"/>
            </w:tcBorders>
            <w:shd w:val="clear" w:color="auto" w:fill="auto"/>
            <w:noWrap/>
            <w:vAlign w:val="center"/>
            <w:hideMark/>
          </w:tcPr>
          <w:p w14:paraId="42C26406" w14:textId="77777777" w:rsidR="00847F65" w:rsidRPr="00090E3A" w:rsidRDefault="00847F65" w:rsidP="00090E3A">
            <w:pPr>
              <w:jc w:val="center"/>
              <w:rPr>
                <w:i/>
                <w:color w:val="000000"/>
                <w:sz w:val="18"/>
                <w:szCs w:val="18"/>
              </w:rPr>
            </w:pPr>
            <w:r w:rsidRPr="00090E3A">
              <w:rPr>
                <w:i/>
                <w:color w:val="000000"/>
                <w:sz w:val="18"/>
                <w:szCs w:val="18"/>
              </w:rPr>
              <w:t>Yes</w:t>
            </w:r>
          </w:p>
        </w:tc>
        <w:tc>
          <w:tcPr>
            <w:tcW w:w="504" w:type="pct"/>
            <w:tcBorders>
              <w:top w:val="nil"/>
              <w:left w:val="nil"/>
              <w:bottom w:val="nil"/>
              <w:right w:val="nil"/>
            </w:tcBorders>
            <w:shd w:val="clear" w:color="auto" w:fill="auto"/>
            <w:noWrap/>
            <w:vAlign w:val="center"/>
            <w:hideMark/>
          </w:tcPr>
          <w:p w14:paraId="36841F2F" w14:textId="77777777" w:rsidR="00847F65" w:rsidRPr="00090E3A" w:rsidRDefault="00847F65" w:rsidP="00090E3A">
            <w:pPr>
              <w:jc w:val="center"/>
              <w:rPr>
                <w:i/>
                <w:color w:val="000000"/>
                <w:sz w:val="18"/>
                <w:szCs w:val="18"/>
              </w:rPr>
            </w:pPr>
            <w:r w:rsidRPr="00090E3A">
              <w:rPr>
                <w:i/>
                <w:color w:val="000000"/>
                <w:sz w:val="18"/>
                <w:szCs w:val="18"/>
              </w:rPr>
              <w:t>Yes</w:t>
            </w:r>
          </w:p>
        </w:tc>
        <w:tc>
          <w:tcPr>
            <w:tcW w:w="505" w:type="pct"/>
            <w:tcBorders>
              <w:top w:val="nil"/>
              <w:left w:val="nil"/>
              <w:bottom w:val="nil"/>
              <w:right w:val="nil"/>
            </w:tcBorders>
            <w:shd w:val="clear" w:color="auto" w:fill="auto"/>
            <w:noWrap/>
            <w:vAlign w:val="center"/>
            <w:hideMark/>
          </w:tcPr>
          <w:p w14:paraId="05AD2239" w14:textId="77777777" w:rsidR="00847F65" w:rsidRPr="00090E3A" w:rsidRDefault="00847F65" w:rsidP="00090E3A">
            <w:pPr>
              <w:jc w:val="center"/>
              <w:rPr>
                <w:i/>
                <w:color w:val="000000"/>
                <w:sz w:val="18"/>
                <w:szCs w:val="18"/>
              </w:rPr>
            </w:pPr>
            <w:r w:rsidRPr="00090E3A">
              <w:rPr>
                <w:i/>
                <w:color w:val="000000"/>
                <w:sz w:val="18"/>
                <w:szCs w:val="18"/>
              </w:rPr>
              <w:t>Yes</w:t>
            </w:r>
          </w:p>
        </w:tc>
        <w:tc>
          <w:tcPr>
            <w:tcW w:w="505" w:type="pct"/>
            <w:tcBorders>
              <w:top w:val="nil"/>
              <w:left w:val="single" w:sz="4" w:space="0" w:color="auto"/>
              <w:bottom w:val="nil"/>
              <w:right w:val="nil"/>
            </w:tcBorders>
            <w:shd w:val="clear" w:color="auto" w:fill="auto"/>
            <w:noWrap/>
            <w:vAlign w:val="center"/>
            <w:hideMark/>
          </w:tcPr>
          <w:p w14:paraId="5E069782" w14:textId="77777777" w:rsidR="00847F65" w:rsidRPr="00090E3A" w:rsidRDefault="00847F65" w:rsidP="00090E3A">
            <w:pPr>
              <w:jc w:val="center"/>
              <w:rPr>
                <w:i/>
                <w:color w:val="000000"/>
                <w:sz w:val="18"/>
                <w:szCs w:val="18"/>
              </w:rPr>
            </w:pPr>
            <w:r w:rsidRPr="00090E3A">
              <w:rPr>
                <w:i/>
                <w:color w:val="000000"/>
                <w:sz w:val="18"/>
                <w:szCs w:val="18"/>
              </w:rPr>
              <w:t>Yes</w:t>
            </w:r>
          </w:p>
        </w:tc>
        <w:tc>
          <w:tcPr>
            <w:tcW w:w="505" w:type="pct"/>
            <w:tcBorders>
              <w:top w:val="nil"/>
              <w:left w:val="nil"/>
              <w:bottom w:val="nil"/>
              <w:right w:val="nil"/>
            </w:tcBorders>
            <w:shd w:val="clear" w:color="auto" w:fill="auto"/>
            <w:noWrap/>
            <w:vAlign w:val="center"/>
            <w:hideMark/>
          </w:tcPr>
          <w:p w14:paraId="3DEF35E9" w14:textId="77777777" w:rsidR="00847F65" w:rsidRPr="00090E3A" w:rsidRDefault="00847F65" w:rsidP="00090E3A">
            <w:pPr>
              <w:jc w:val="center"/>
              <w:rPr>
                <w:i/>
                <w:color w:val="000000"/>
                <w:sz w:val="18"/>
                <w:szCs w:val="18"/>
              </w:rPr>
            </w:pPr>
            <w:r w:rsidRPr="00090E3A">
              <w:rPr>
                <w:i/>
                <w:color w:val="000000"/>
                <w:sz w:val="18"/>
                <w:szCs w:val="18"/>
              </w:rPr>
              <w:t>Yes</w:t>
            </w:r>
          </w:p>
        </w:tc>
        <w:tc>
          <w:tcPr>
            <w:tcW w:w="505" w:type="pct"/>
            <w:tcBorders>
              <w:top w:val="nil"/>
              <w:left w:val="nil"/>
              <w:bottom w:val="nil"/>
              <w:right w:val="nil"/>
            </w:tcBorders>
            <w:shd w:val="clear" w:color="auto" w:fill="auto"/>
            <w:noWrap/>
            <w:vAlign w:val="center"/>
            <w:hideMark/>
          </w:tcPr>
          <w:p w14:paraId="1CF403C3" w14:textId="77777777" w:rsidR="00847F65" w:rsidRPr="00090E3A" w:rsidRDefault="00847F65" w:rsidP="00090E3A">
            <w:pPr>
              <w:jc w:val="center"/>
              <w:rPr>
                <w:i/>
                <w:color w:val="000000"/>
                <w:sz w:val="18"/>
                <w:szCs w:val="18"/>
              </w:rPr>
            </w:pPr>
            <w:r w:rsidRPr="00090E3A">
              <w:rPr>
                <w:i/>
                <w:color w:val="000000"/>
                <w:sz w:val="18"/>
                <w:szCs w:val="18"/>
              </w:rPr>
              <w:t>Yes</w:t>
            </w:r>
          </w:p>
        </w:tc>
        <w:tc>
          <w:tcPr>
            <w:tcW w:w="503" w:type="pct"/>
            <w:tcBorders>
              <w:top w:val="nil"/>
              <w:left w:val="nil"/>
              <w:bottom w:val="nil"/>
              <w:right w:val="nil"/>
            </w:tcBorders>
            <w:shd w:val="clear" w:color="auto" w:fill="auto"/>
            <w:noWrap/>
            <w:vAlign w:val="center"/>
            <w:hideMark/>
          </w:tcPr>
          <w:p w14:paraId="58411AB1" w14:textId="77777777" w:rsidR="00847F65" w:rsidRPr="00090E3A" w:rsidRDefault="00847F65" w:rsidP="00090E3A">
            <w:pPr>
              <w:jc w:val="center"/>
              <w:rPr>
                <w:i/>
                <w:color w:val="000000"/>
                <w:sz w:val="18"/>
                <w:szCs w:val="18"/>
              </w:rPr>
            </w:pPr>
            <w:r w:rsidRPr="00090E3A">
              <w:rPr>
                <w:i/>
                <w:color w:val="000000"/>
                <w:sz w:val="18"/>
                <w:szCs w:val="18"/>
              </w:rPr>
              <w:t>Yes</w:t>
            </w:r>
          </w:p>
        </w:tc>
      </w:tr>
      <w:tr w:rsidR="00847F65" w:rsidRPr="00090E3A" w14:paraId="464B1BC9" w14:textId="77777777" w:rsidTr="00EF3882">
        <w:trPr>
          <w:trHeight w:val="300"/>
        </w:trPr>
        <w:tc>
          <w:tcPr>
            <w:tcW w:w="965" w:type="pct"/>
            <w:tcBorders>
              <w:top w:val="nil"/>
              <w:left w:val="nil"/>
              <w:bottom w:val="nil"/>
              <w:right w:val="nil"/>
            </w:tcBorders>
            <w:shd w:val="clear" w:color="auto" w:fill="auto"/>
            <w:noWrap/>
            <w:vAlign w:val="center"/>
            <w:hideMark/>
          </w:tcPr>
          <w:p w14:paraId="1493025D" w14:textId="77777777" w:rsidR="00847F65" w:rsidRPr="00090E3A" w:rsidRDefault="00847F65" w:rsidP="005E2B4C">
            <w:pPr>
              <w:rPr>
                <w:i/>
                <w:color w:val="000000"/>
                <w:sz w:val="18"/>
                <w:szCs w:val="18"/>
              </w:rPr>
            </w:pPr>
            <w:r w:rsidRPr="00090E3A">
              <w:rPr>
                <w:i/>
                <w:color w:val="000000"/>
                <w:sz w:val="18"/>
                <w:szCs w:val="18"/>
              </w:rPr>
              <w:t>1</w:t>
            </w:r>
            <w:r w:rsidRPr="00090E3A">
              <w:rPr>
                <w:i/>
                <w:color w:val="000000"/>
                <w:sz w:val="18"/>
                <w:szCs w:val="18"/>
                <w:vertAlign w:val="superscript"/>
              </w:rPr>
              <w:t>st</w:t>
            </w:r>
            <w:r w:rsidRPr="00090E3A">
              <w:rPr>
                <w:i/>
                <w:color w:val="000000"/>
                <w:sz w:val="18"/>
                <w:szCs w:val="18"/>
              </w:rPr>
              <w:t xml:space="preserve"> lead of GATT &amp;fta</w:t>
            </w:r>
          </w:p>
        </w:tc>
        <w:tc>
          <w:tcPr>
            <w:tcW w:w="504" w:type="pct"/>
            <w:tcBorders>
              <w:top w:val="nil"/>
              <w:left w:val="nil"/>
              <w:bottom w:val="nil"/>
              <w:right w:val="nil"/>
            </w:tcBorders>
            <w:shd w:val="clear" w:color="auto" w:fill="auto"/>
            <w:noWrap/>
            <w:vAlign w:val="center"/>
            <w:hideMark/>
          </w:tcPr>
          <w:p w14:paraId="66CE5371" w14:textId="77777777" w:rsidR="00847F65" w:rsidRPr="00090E3A" w:rsidRDefault="00847F65" w:rsidP="00090E3A">
            <w:pPr>
              <w:jc w:val="center"/>
              <w:rPr>
                <w:i/>
                <w:color w:val="000000"/>
                <w:sz w:val="18"/>
                <w:szCs w:val="18"/>
              </w:rPr>
            </w:pPr>
            <w:r w:rsidRPr="00090E3A">
              <w:rPr>
                <w:i/>
                <w:color w:val="000000"/>
                <w:sz w:val="18"/>
                <w:szCs w:val="18"/>
              </w:rPr>
              <w:t>Yes</w:t>
            </w:r>
          </w:p>
        </w:tc>
        <w:tc>
          <w:tcPr>
            <w:tcW w:w="504" w:type="pct"/>
            <w:tcBorders>
              <w:top w:val="nil"/>
              <w:left w:val="nil"/>
              <w:bottom w:val="nil"/>
              <w:right w:val="nil"/>
            </w:tcBorders>
            <w:shd w:val="clear" w:color="auto" w:fill="auto"/>
            <w:noWrap/>
            <w:vAlign w:val="center"/>
            <w:hideMark/>
          </w:tcPr>
          <w:p w14:paraId="146415F5" w14:textId="77777777" w:rsidR="00847F65" w:rsidRPr="00090E3A" w:rsidRDefault="00847F65" w:rsidP="00090E3A">
            <w:pPr>
              <w:jc w:val="center"/>
              <w:rPr>
                <w:i/>
                <w:color w:val="000000"/>
                <w:sz w:val="18"/>
                <w:szCs w:val="18"/>
              </w:rPr>
            </w:pPr>
            <w:r w:rsidRPr="00090E3A">
              <w:rPr>
                <w:i/>
                <w:color w:val="000000"/>
                <w:sz w:val="18"/>
                <w:szCs w:val="18"/>
              </w:rPr>
              <w:t>Yes</w:t>
            </w:r>
          </w:p>
        </w:tc>
        <w:tc>
          <w:tcPr>
            <w:tcW w:w="504" w:type="pct"/>
            <w:tcBorders>
              <w:top w:val="nil"/>
              <w:left w:val="nil"/>
              <w:bottom w:val="nil"/>
              <w:right w:val="nil"/>
            </w:tcBorders>
            <w:shd w:val="clear" w:color="auto" w:fill="auto"/>
            <w:noWrap/>
            <w:vAlign w:val="center"/>
            <w:hideMark/>
          </w:tcPr>
          <w:p w14:paraId="5EAB0DCD" w14:textId="77777777" w:rsidR="00847F65" w:rsidRPr="00090E3A" w:rsidRDefault="00847F65" w:rsidP="00090E3A">
            <w:pPr>
              <w:jc w:val="center"/>
              <w:rPr>
                <w:i/>
                <w:color w:val="000000"/>
                <w:sz w:val="18"/>
                <w:szCs w:val="18"/>
              </w:rPr>
            </w:pPr>
            <w:r w:rsidRPr="00090E3A">
              <w:rPr>
                <w:i/>
                <w:color w:val="000000"/>
                <w:sz w:val="18"/>
                <w:szCs w:val="18"/>
              </w:rPr>
              <w:t>Yes</w:t>
            </w:r>
          </w:p>
        </w:tc>
        <w:tc>
          <w:tcPr>
            <w:tcW w:w="505" w:type="pct"/>
            <w:tcBorders>
              <w:top w:val="nil"/>
              <w:left w:val="nil"/>
              <w:bottom w:val="nil"/>
              <w:right w:val="nil"/>
            </w:tcBorders>
            <w:shd w:val="clear" w:color="auto" w:fill="auto"/>
            <w:noWrap/>
            <w:vAlign w:val="center"/>
            <w:hideMark/>
          </w:tcPr>
          <w:p w14:paraId="633D5B58" w14:textId="77777777" w:rsidR="00847F65" w:rsidRPr="00090E3A" w:rsidRDefault="00847F65" w:rsidP="00090E3A">
            <w:pPr>
              <w:jc w:val="center"/>
              <w:rPr>
                <w:i/>
                <w:color w:val="000000"/>
                <w:sz w:val="18"/>
                <w:szCs w:val="18"/>
              </w:rPr>
            </w:pPr>
            <w:r w:rsidRPr="00090E3A">
              <w:rPr>
                <w:i/>
                <w:color w:val="000000"/>
                <w:sz w:val="18"/>
                <w:szCs w:val="18"/>
              </w:rPr>
              <w:t>Yes</w:t>
            </w:r>
          </w:p>
        </w:tc>
        <w:tc>
          <w:tcPr>
            <w:tcW w:w="505" w:type="pct"/>
            <w:tcBorders>
              <w:top w:val="nil"/>
              <w:left w:val="single" w:sz="4" w:space="0" w:color="auto"/>
              <w:bottom w:val="nil"/>
              <w:right w:val="nil"/>
            </w:tcBorders>
            <w:shd w:val="clear" w:color="auto" w:fill="auto"/>
            <w:noWrap/>
            <w:vAlign w:val="center"/>
            <w:hideMark/>
          </w:tcPr>
          <w:p w14:paraId="43E6320F" w14:textId="77777777" w:rsidR="00847F65" w:rsidRPr="00090E3A" w:rsidRDefault="00847F65" w:rsidP="00090E3A">
            <w:pPr>
              <w:jc w:val="center"/>
              <w:rPr>
                <w:i/>
                <w:color w:val="000000"/>
                <w:sz w:val="18"/>
                <w:szCs w:val="18"/>
              </w:rPr>
            </w:pPr>
            <w:r w:rsidRPr="00090E3A">
              <w:rPr>
                <w:i/>
                <w:color w:val="000000"/>
                <w:sz w:val="18"/>
                <w:szCs w:val="18"/>
              </w:rPr>
              <w:t>Yes</w:t>
            </w:r>
          </w:p>
        </w:tc>
        <w:tc>
          <w:tcPr>
            <w:tcW w:w="505" w:type="pct"/>
            <w:tcBorders>
              <w:top w:val="nil"/>
              <w:left w:val="nil"/>
              <w:bottom w:val="nil"/>
              <w:right w:val="nil"/>
            </w:tcBorders>
            <w:shd w:val="clear" w:color="auto" w:fill="auto"/>
            <w:noWrap/>
            <w:vAlign w:val="center"/>
            <w:hideMark/>
          </w:tcPr>
          <w:p w14:paraId="711B4349" w14:textId="77777777" w:rsidR="00847F65" w:rsidRPr="00090E3A" w:rsidRDefault="00847F65" w:rsidP="00090E3A">
            <w:pPr>
              <w:jc w:val="center"/>
              <w:rPr>
                <w:i/>
                <w:color w:val="000000"/>
                <w:sz w:val="18"/>
                <w:szCs w:val="18"/>
              </w:rPr>
            </w:pPr>
            <w:r w:rsidRPr="00090E3A">
              <w:rPr>
                <w:i/>
                <w:color w:val="000000"/>
                <w:sz w:val="18"/>
                <w:szCs w:val="18"/>
              </w:rPr>
              <w:t>Yes</w:t>
            </w:r>
          </w:p>
        </w:tc>
        <w:tc>
          <w:tcPr>
            <w:tcW w:w="505" w:type="pct"/>
            <w:tcBorders>
              <w:top w:val="nil"/>
              <w:left w:val="nil"/>
              <w:bottom w:val="nil"/>
              <w:right w:val="nil"/>
            </w:tcBorders>
            <w:shd w:val="clear" w:color="auto" w:fill="auto"/>
            <w:noWrap/>
            <w:vAlign w:val="center"/>
            <w:hideMark/>
          </w:tcPr>
          <w:p w14:paraId="3DF13F8E" w14:textId="77777777" w:rsidR="00847F65" w:rsidRPr="00090E3A" w:rsidRDefault="00847F65" w:rsidP="00090E3A">
            <w:pPr>
              <w:jc w:val="center"/>
              <w:rPr>
                <w:i/>
                <w:color w:val="000000"/>
                <w:sz w:val="18"/>
                <w:szCs w:val="18"/>
              </w:rPr>
            </w:pPr>
            <w:r w:rsidRPr="00090E3A">
              <w:rPr>
                <w:i/>
                <w:color w:val="000000"/>
                <w:sz w:val="18"/>
                <w:szCs w:val="18"/>
              </w:rPr>
              <w:t>Yes</w:t>
            </w:r>
          </w:p>
        </w:tc>
        <w:tc>
          <w:tcPr>
            <w:tcW w:w="503" w:type="pct"/>
            <w:tcBorders>
              <w:top w:val="nil"/>
              <w:left w:val="nil"/>
              <w:bottom w:val="nil"/>
              <w:right w:val="nil"/>
            </w:tcBorders>
            <w:shd w:val="clear" w:color="auto" w:fill="auto"/>
            <w:noWrap/>
            <w:vAlign w:val="center"/>
            <w:hideMark/>
          </w:tcPr>
          <w:p w14:paraId="6B20041F" w14:textId="77777777" w:rsidR="00847F65" w:rsidRPr="00090E3A" w:rsidRDefault="00847F65" w:rsidP="00090E3A">
            <w:pPr>
              <w:jc w:val="center"/>
              <w:rPr>
                <w:i/>
                <w:color w:val="000000"/>
                <w:sz w:val="18"/>
                <w:szCs w:val="18"/>
              </w:rPr>
            </w:pPr>
            <w:r w:rsidRPr="00090E3A">
              <w:rPr>
                <w:i/>
                <w:color w:val="000000"/>
                <w:sz w:val="18"/>
                <w:szCs w:val="18"/>
              </w:rPr>
              <w:t>Yes</w:t>
            </w:r>
          </w:p>
        </w:tc>
      </w:tr>
      <w:tr w:rsidR="00847F65" w:rsidRPr="00090E3A" w14:paraId="37CCB231" w14:textId="77777777" w:rsidTr="00EF3882">
        <w:trPr>
          <w:trHeight w:val="300"/>
        </w:trPr>
        <w:tc>
          <w:tcPr>
            <w:tcW w:w="965" w:type="pct"/>
            <w:tcBorders>
              <w:top w:val="nil"/>
              <w:left w:val="nil"/>
              <w:bottom w:val="nil"/>
              <w:right w:val="nil"/>
            </w:tcBorders>
            <w:shd w:val="clear" w:color="auto" w:fill="auto"/>
            <w:noWrap/>
            <w:vAlign w:val="center"/>
            <w:hideMark/>
          </w:tcPr>
          <w:p w14:paraId="4A75D80B" w14:textId="77777777" w:rsidR="00847F65" w:rsidRPr="00090E3A" w:rsidRDefault="00847F65" w:rsidP="005E2B4C">
            <w:pPr>
              <w:rPr>
                <w:i/>
                <w:color w:val="000000"/>
                <w:sz w:val="18"/>
                <w:szCs w:val="18"/>
              </w:rPr>
            </w:pPr>
            <w:r w:rsidRPr="00090E3A">
              <w:rPr>
                <w:i/>
                <w:color w:val="000000"/>
                <w:sz w:val="18"/>
                <w:szCs w:val="18"/>
              </w:rPr>
              <w:t>Obs</w:t>
            </w:r>
          </w:p>
        </w:tc>
        <w:tc>
          <w:tcPr>
            <w:tcW w:w="504" w:type="pct"/>
            <w:tcBorders>
              <w:top w:val="nil"/>
              <w:left w:val="nil"/>
              <w:bottom w:val="nil"/>
              <w:right w:val="nil"/>
            </w:tcBorders>
            <w:shd w:val="clear" w:color="auto" w:fill="auto"/>
            <w:noWrap/>
            <w:vAlign w:val="center"/>
            <w:hideMark/>
          </w:tcPr>
          <w:p w14:paraId="25EDF8A9" w14:textId="77777777" w:rsidR="00847F65" w:rsidRPr="00090E3A" w:rsidRDefault="00847F65" w:rsidP="00090E3A">
            <w:pPr>
              <w:jc w:val="center"/>
              <w:rPr>
                <w:i/>
                <w:color w:val="000000"/>
                <w:sz w:val="18"/>
                <w:szCs w:val="18"/>
              </w:rPr>
            </w:pPr>
            <w:r w:rsidRPr="00090E3A">
              <w:rPr>
                <w:i/>
                <w:color w:val="000000"/>
                <w:sz w:val="18"/>
                <w:szCs w:val="18"/>
              </w:rPr>
              <w:t>938702</w:t>
            </w:r>
          </w:p>
        </w:tc>
        <w:tc>
          <w:tcPr>
            <w:tcW w:w="504" w:type="pct"/>
            <w:tcBorders>
              <w:top w:val="nil"/>
              <w:left w:val="nil"/>
              <w:bottom w:val="nil"/>
              <w:right w:val="nil"/>
            </w:tcBorders>
            <w:shd w:val="clear" w:color="auto" w:fill="auto"/>
            <w:noWrap/>
            <w:vAlign w:val="center"/>
            <w:hideMark/>
          </w:tcPr>
          <w:p w14:paraId="35693CFE" w14:textId="77777777" w:rsidR="00847F65" w:rsidRPr="00090E3A" w:rsidRDefault="00847F65" w:rsidP="00090E3A">
            <w:pPr>
              <w:jc w:val="center"/>
              <w:rPr>
                <w:i/>
                <w:color w:val="000000"/>
                <w:sz w:val="18"/>
                <w:szCs w:val="18"/>
              </w:rPr>
            </w:pPr>
            <w:r w:rsidRPr="00090E3A">
              <w:rPr>
                <w:i/>
                <w:color w:val="000000"/>
                <w:sz w:val="18"/>
                <w:szCs w:val="18"/>
              </w:rPr>
              <w:t>1200017</w:t>
            </w:r>
          </w:p>
        </w:tc>
        <w:tc>
          <w:tcPr>
            <w:tcW w:w="504" w:type="pct"/>
            <w:tcBorders>
              <w:top w:val="nil"/>
              <w:left w:val="nil"/>
              <w:bottom w:val="nil"/>
              <w:right w:val="nil"/>
            </w:tcBorders>
            <w:shd w:val="clear" w:color="auto" w:fill="auto"/>
            <w:noWrap/>
            <w:vAlign w:val="center"/>
            <w:hideMark/>
          </w:tcPr>
          <w:p w14:paraId="2155AEB2" w14:textId="77777777" w:rsidR="00847F65" w:rsidRPr="00090E3A" w:rsidRDefault="00847F65" w:rsidP="00090E3A">
            <w:pPr>
              <w:jc w:val="center"/>
              <w:rPr>
                <w:i/>
                <w:color w:val="000000"/>
                <w:sz w:val="18"/>
                <w:szCs w:val="18"/>
              </w:rPr>
            </w:pPr>
            <w:r w:rsidRPr="00090E3A">
              <w:rPr>
                <w:i/>
                <w:color w:val="000000"/>
                <w:sz w:val="18"/>
                <w:szCs w:val="18"/>
              </w:rPr>
              <w:t>794931</w:t>
            </w:r>
          </w:p>
        </w:tc>
        <w:tc>
          <w:tcPr>
            <w:tcW w:w="505" w:type="pct"/>
            <w:tcBorders>
              <w:top w:val="nil"/>
              <w:left w:val="nil"/>
              <w:bottom w:val="nil"/>
              <w:right w:val="nil"/>
            </w:tcBorders>
            <w:shd w:val="clear" w:color="auto" w:fill="auto"/>
            <w:noWrap/>
            <w:vAlign w:val="center"/>
            <w:hideMark/>
          </w:tcPr>
          <w:p w14:paraId="6F1BB502" w14:textId="77777777" w:rsidR="00847F65" w:rsidRPr="00090E3A" w:rsidRDefault="00847F65" w:rsidP="00090E3A">
            <w:pPr>
              <w:jc w:val="center"/>
              <w:rPr>
                <w:i/>
                <w:color w:val="000000"/>
                <w:sz w:val="18"/>
                <w:szCs w:val="18"/>
              </w:rPr>
            </w:pPr>
            <w:r w:rsidRPr="00090E3A">
              <w:rPr>
                <w:i/>
                <w:color w:val="000000"/>
                <w:sz w:val="18"/>
                <w:szCs w:val="18"/>
              </w:rPr>
              <w:t>1010474</w:t>
            </w:r>
          </w:p>
        </w:tc>
        <w:tc>
          <w:tcPr>
            <w:tcW w:w="505" w:type="pct"/>
            <w:tcBorders>
              <w:top w:val="nil"/>
              <w:left w:val="single" w:sz="4" w:space="0" w:color="auto"/>
              <w:bottom w:val="nil"/>
              <w:right w:val="nil"/>
            </w:tcBorders>
            <w:shd w:val="clear" w:color="auto" w:fill="auto"/>
            <w:noWrap/>
            <w:vAlign w:val="center"/>
            <w:hideMark/>
          </w:tcPr>
          <w:p w14:paraId="14FBFF78" w14:textId="77777777" w:rsidR="00847F65" w:rsidRPr="00090E3A" w:rsidRDefault="00847F65" w:rsidP="00090E3A">
            <w:pPr>
              <w:jc w:val="center"/>
              <w:rPr>
                <w:i/>
                <w:color w:val="000000"/>
                <w:sz w:val="18"/>
                <w:szCs w:val="18"/>
              </w:rPr>
            </w:pPr>
            <w:r w:rsidRPr="00090E3A">
              <w:rPr>
                <w:i/>
                <w:color w:val="000000"/>
                <w:sz w:val="18"/>
                <w:szCs w:val="18"/>
              </w:rPr>
              <w:t>811282</w:t>
            </w:r>
          </w:p>
        </w:tc>
        <w:tc>
          <w:tcPr>
            <w:tcW w:w="505" w:type="pct"/>
            <w:tcBorders>
              <w:top w:val="nil"/>
              <w:left w:val="nil"/>
              <w:bottom w:val="nil"/>
              <w:right w:val="nil"/>
            </w:tcBorders>
            <w:shd w:val="clear" w:color="auto" w:fill="auto"/>
            <w:noWrap/>
            <w:vAlign w:val="center"/>
            <w:hideMark/>
          </w:tcPr>
          <w:p w14:paraId="22846E3F" w14:textId="77777777" w:rsidR="00847F65" w:rsidRPr="00090E3A" w:rsidRDefault="00847F65" w:rsidP="00090E3A">
            <w:pPr>
              <w:jc w:val="center"/>
              <w:rPr>
                <w:i/>
                <w:color w:val="000000"/>
                <w:sz w:val="18"/>
                <w:szCs w:val="18"/>
              </w:rPr>
            </w:pPr>
            <w:r w:rsidRPr="00090E3A">
              <w:rPr>
                <w:i/>
                <w:color w:val="000000"/>
                <w:sz w:val="18"/>
                <w:szCs w:val="18"/>
              </w:rPr>
              <w:t>1053255</w:t>
            </w:r>
          </w:p>
        </w:tc>
        <w:tc>
          <w:tcPr>
            <w:tcW w:w="505" w:type="pct"/>
            <w:tcBorders>
              <w:top w:val="nil"/>
              <w:left w:val="nil"/>
              <w:bottom w:val="nil"/>
              <w:right w:val="nil"/>
            </w:tcBorders>
            <w:shd w:val="clear" w:color="auto" w:fill="auto"/>
            <w:noWrap/>
            <w:vAlign w:val="center"/>
            <w:hideMark/>
          </w:tcPr>
          <w:p w14:paraId="4D861D95" w14:textId="77777777" w:rsidR="00847F65" w:rsidRPr="00090E3A" w:rsidRDefault="00847F65" w:rsidP="00090E3A">
            <w:pPr>
              <w:jc w:val="center"/>
              <w:rPr>
                <w:i/>
                <w:color w:val="000000"/>
                <w:sz w:val="18"/>
                <w:szCs w:val="18"/>
              </w:rPr>
            </w:pPr>
            <w:r w:rsidRPr="00090E3A">
              <w:rPr>
                <w:i/>
                <w:color w:val="000000"/>
                <w:sz w:val="18"/>
                <w:szCs w:val="18"/>
              </w:rPr>
              <w:t>678530</w:t>
            </w:r>
          </w:p>
        </w:tc>
        <w:tc>
          <w:tcPr>
            <w:tcW w:w="503" w:type="pct"/>
            <w:tcBorders>
              <w:top w:val="nil"/>
              <w:left w:val="nil"/>
              <w:bottom w:val="nil"/>
              <w:right w:val="nil"/>
            </w:tcBorders>
            <w:shd w:val="clear" w:color="auto" w:fill="auto"/>
            <w:noWrap/>
            <w:vAlign w:val="center"/>
            <w:hideMark/>
          </w:tcPr>
          <w:p w14:paraId="2D29CDE6" w14:textId="77777777" w:rsidR="00847F65" w:rsidRPr="00090E3A" w:rsidRDefault="00847F65" w:rsidP="00090E3A">
            <w:pPr>
              <w:jc w:val="center"/>
              <w:rPr>
                <w:i/>
                <w:color w:val="000000"/>
                <w:sz w:val="18"/>
                <w:szCs w:val="18"/>
              </w:rPr>
            </w:pPr>
            <w:r w:rsidRPr="00090E3A">
              <w:rPr>
                <w:i/>
                <w:color w:val="000000"/>
                <w:sz w:val="18"/>
                <w:szCs w:val="18"/>
              </w:rPr>
              <w:t>876785</w:t>
            </w:r>
          </w:p>
        </w:tc>
      </w:tr>
      <w:tr w:rsidR="00847F65" w:rsidRPr="00090E3A" w14:paraId="0CEEE048" w14:textId="77777777" w:rsidTr="00EF3882">
        <w:trPr>
          <w:trHeight w:val="300"/>
        </w:trPr>
        <w:tc>
          <w:tcPr>
            <w:tcW w:w="965" w:type="pct"/>
            <w:tcBorders>
              <w:top w:val="nil"/>
              <w:left w:val="nil"/>
              <w:bottom w:val="nil"/>
              <w:right w:val="nil"/>
            </w:tcBorders>
            <w:shd w:val="clear" w:color="auto" w:fill="auto"/>
            <w:noWrap/>
            <w:vAlign w:val="center"/>
            <w:hideMark/>
          </w:tcPr>
          <w:p w14:paraId="42DCE023" w14:textId="77777777" w:rsidR="00847F65" w:rsidRPr="00090E3A" w:rsidRDefault="00847F65" w:rsidP="005E2B4C">
            <w:pPr>
              <w:rPr>
                <w:i/>
                <w:color w:val="000000"/>
                <w:sz w:val="18"/>
                <w:szCs w:val="18"/>
              </w:rPr>
            </w:pPr>
            <w:r w:rsidRPr="00090E3A">
              <w:rPr>
                <w:i/>
                <w:color w:val="000000"/>
                <w:sz w:val="18"/>
                <w:szCs w:val="18"/>
              </w:rPr>
              <w:t>Countries</w:t>
            </w:r>
          </w:p>
        </w:tc>
        <w:tc>
          <w:tcPr>
            <w:tcW w:w="504" w:type="pct"/>
            <w:tcBorders>
              <w:top w:val="nil"/>
              <w:left w:val="nil"/>
              <w:bottom w:val="nil"/>
              <w:right w:val="nil"/>
            </w:tcBorders>
            <w:shd w:val="clear" w:color="auto" w:fill="auto"/>
            <w:noWrap/>
            <w:vAlign w:val="center"/>
            <w:hideMark/>
          </w:tcPr>
          <w:p w14:paraId="2E8F6C7E" w14:textId="77777777" w:rsidR="00847F65" w:rsidRPr="00090E3A" w:rsidRDefault="00847F65" w:rsidP="00090E3A">
            <w:pPr>
              <w:jc w:val="center"/>
              <w:rPr>
                <w:i/>
                <w:color w:val="000000"/>
                <w:sz w:val="18"/>
                <w:szCs w:val="18"/>
              </w:rPr>
            </w:pPr>
            <w:r w:rsidRPr="00090E3A">
              <w:rPr>
                <w:i/>
                <w:color w:val="000000"/>
                <w:sz w:val="18"/>
                <w:szCs w:val="18"/>
              </w:rPr>
              <w:t>157</w:t>
            </w:r>
          </w:p>
        </w:tc>
        <w:tc>
          <w:tcPr>
            <w:tcW w:w="504" w:type="pct"/>
            <w:tcBorders>
              <w:top w:val="nil"/>
              <w:left w:val="nil"/>
              <w:bottom w:val="nil"/>
              <w:right w:val="nil"/>
            </w:tcBorders>
            <w:shd w:val="clear" w:color="auto" w:fill="auto"/>
            <w:noWrap/>
            <w:vAlign w:val="center"/>
            <w:hideMark/>
          </w:tcPr>
          <w:p w14:paraId="4F41E614" w14:textId="77777777" w:rsidR="00847F65" w:rsidRPr="00090E3A" w:rsidRDefault="00847F65" w:rsidP="00090E3A">
            <w:pPr>
              <w:jc w:val="center"/>
              <w:rPr>
                <w:i/>
                <w:color w:val="000000"/>
                <w:sz w:val="18"/>
                <w:szCs w:val="18"/>
              </w:rPr>
            </w:pPr>
            <w:r w:rsidRPr="00090E3A">
              <w:rPr>
                <w:i/>
                <w:color w:val="000000"/>
                <w:sz w:val="18"/>
                <w:szCs w:val="18"/>
              </w:rPr>
              <w:t>157</w:t>
            </w:r>
          </w:p>
        </w:tc>
        <w:tc>
          <w:tcPr>
            <w:tcW w:w="504" w:type="pct"/>
            <w:tcBorders>
              <w:top w:val="nil"/>
              <w:left w:val="nil"/>
              <w:bottom w:val="nil"/>
              <w:right w:val="nil"/>
            </w:tcBorders>
            <w:shd w:val="clear" w:color="auto" w:fill="auto"/>
            <w:noWrap/>
            <w:vAlign w:val="center"/>
            <w:hideMark/>
          </w:tcPr>
          <w:p w14:paraId="2E2471F8" w14:textId="77777777" w:rsidR="00847F65" w:rsidRPr="00090E3A" w:rsidRDefault="00847F65" w:rsidP="00090E3A">
            <w:pPr>
              <w:jc w:val="center"/>
              <w:rPr>
                <w:i/>
                <w:color w:val="000000"/>
                <w:sz w:val="18"/>
                <w:szCs w:val="18"/>
              </w:rPr>
            </w:pPr>
            <w:r w:rsidRPr="00090E3A">
              <w:rPr>
                <w:i/>
                <w:color w:val="000000"/>
                <w:sz w:val="18"/>
                <w:szCs w:val="18"/>
              </w:rPr>
              <w:t>135</w:t>
            </w:r>
          </w:p>
        </w:tc>
        <w:tc>
          <w:tcPr>
            <w:tcW w:w="505" w:type="pct"/>
            <w:tcBorders>
              <w:top w:val="nil"/>
              <w:left w:val="nil"/>
              <w:bottom w:val="nil"/>
              <w:right w:val="nil"/>
            </w:tcBorders>
            <w:shd w:val="clear" w:color="auto" w:fill="auto"/>
            <w:noWrap/>
            <w:vAlign w:val="center"/>
            <w:hideMark/>
          </w:tcPr>
          <w:p w14:paraId="473515BA" w14:textId="77777777" w:rsidR="00847F65" w:rsidRPr="00090E3A" w:rsidRDefault="00847F65" w:rsidP="00090E3A">
            <w:pPr>
              <w:jc w:val="center"/>
              <w:rPr>
                <w:i/>
                <w:color w:val="000000"/>
                <w:sz w:val="18"/>
                <w:szCs w:val="18"/>
              </w:rPr>
            </w:pPr>
            <w:r w:rsidRPr="00090E3A">
              <w:rPr>
                <w:i/>
                <w:color w:val="000000"/>
                <w:sz w:val="18"/>
                <w:szCs w:val="18"/>
              </w:rPr>
              <w:t>135</w:t>
            </w:r>
          </w:p>
        </w:tc>
        <w:tc>
          <w:tcPr>
            <w:tcW w:w="505" w:type="pct"/>
            <w:tcBorders>
              <w:top w:val="nil"/>
              <w:left w:val="single" w:sz="4" w:space="0" w:color="auto"/>
              <w:bottom w:val="nil"/>
              <w:right w:val="nil"/>
            </w:tcBorders>
            <w:shd w:val="clear" w:color="auto" w:fill="auto"/>
            <w:noWrap/>
            <w:vAlign w:val="center"/>
            <w:hideMark/>
          </w:tcPr>
          <w:p w14:paraId="5A8F6A38" w14:textId="77777777" w:rsidR="00847F65" w:rsidRPr="00090E3A" w:rsidRDefault="00847F65" w:rsidP="00090E3A">
            <w:pPr>
              <w:jc w:val="center"/>
              <w:rPr>
                <w:i/>
                <w:color w:val="000000"/>
                <w:sz w:val="18"/>
                <w:szCs w:val="18"/>
              </w:rPr>
            </w:pPr>
            <w:r w:rsidRPr="00090E3A">
              <w:rPr>
                <w:i/>
                <w:color w:val="000000"/>
                <w:sz w:val="18"/>
                <w:szCs w:val="18"/>
              </w:rPr>
              <w:t>157</w:t>
            </w:r>
          </w:p>
        </w:tc>
        <w:tc>
          <w:tcPr>
            <w:tcW w:w="505" w:type="pct"/>
            <w:tcBorders>
              <w:top w:val="nil"/>
              <w:left w:val="nil"/>
              <w:bottom w:val="nil"/>
              <w:right w:val="nil"/>
            </w:tcBorders>
            <w:shd w:val="clear" w:color="auto" w:fill="auto"/>
            <w:noWrap/>
            <w:vAlign w:val="center"/>
            <w:hideMark/>
          </w:tcPr>
          <w:p w14:paraId="4AEAC487" w14:textId="77777777" w:rsidR="00847F65" w:rsidRPr="00090E3A" w:rsidRDefault="00847F65" w:rsidP="00090E3A">
            <w:pPr>
              <w:jc w:val="center"/>
              <w:rPr>
                <w:i/>
                <w:color w:val="000000"/>
                <w:sz w:val="18"/>
                <w:szCs w:val="18"/>
              </w:rPr>
            </w:pPr>
            <w:r w:rsidRPr="00090E3A">
              <w:rPr>
                <w:i/>
                <w:color w:val="000000"/>
                <w:sz w:val="18"/>
                <w:szCs w:val="18"/>
              </w:rPr>
              <w:t>157</w:t>
            </w:r>
          </w:p>
        </w:tc>
        <w:tc>
          <w:tcPr>
            <w:tcW w:w="505" w:type="pct"/>
            <w:tcBorders>
              <w:top w:val="nil"/>
              <w:left w:val="nil"/>
              <w:bottom w:val="nil"/>
              <w:right w:val="nil"/>
            </w:tcBorders>
            <w:shd w:val="clear" w:color="auto" w:fill="auto"/>
            <w:noWrap/>
            <w:vAlign w:val="center"/>
            <w:hideMark/>
          </w:tcPr>
          <w:p w14:paraId="2B82553F" w14:textId="77777777" w:rsidR="00847F65" w:rsidRPr="00090E3A" w:rsidRDefault="00847F65" w:rsidP="00090E3A">
            <w:pPr>
              <w:jc w:val="center"/>
              <w:rPr>
                <w:i/>
                <w:color w:val="000000"/>
                <w:sz w:val="18"/>
                <w:szCs w:val="18"/>
              </w:rPr>
            </w:pPr>
            <w:r w:rsidRPr="00090E3A">
              <w:rPr>
                <w:i/>
                <w:color w:val="000000"/>
                <w:sz w:val="18"/>
                <w:szCs w:val="18"/>
              </w:rPr>
              <w:t>135</w:t>
            </w:r>
          </w:p>
        </w:tc>
        <w:tc>
          <w:tcPr>
            <w:tcW w:w="503" w:type="pct"/>
            <w:tcBorders>
              <w:top w:val="nil"/>
              <w:left w:val="nil"/>
              <w:bottom w:val="nil"/>
              <w:right w:val="nil"/>
            </w:tcBorders>
            <w:shd w:val="clear" w:color="auto" w:fill="auto"/>
            <w:noWrap/>
            <w:vAlign w:val="center"/>
            <w:hideMark/>
          </w:tcPr>
          <w:p w14:paraId="420D226F" w14:textId="77777777" w:rsidR="00847F65" w:rsidRPr="00090E3A" w:rsidRDefault="00847F65" w:rsidP="00090E3A">
            <w:pPr>
              <w:jc w:val="center"/>
              <w:rPr>
                <w:i/>
                <w:color w:val="000000"/>
                <w:sz w:val="18"/>
                <w:szCs w:val="18"/>
              </w:rPr>
            </w:pPr>
            <w:r w:rsidRPr="00090E3A">
              <w:rPr>
                <w:i/>
                <w:color w:val="000000"/>
                <w:sz w:val="18"/>
                <w:szCs w:val="18"/>
              </w:rPr>
              <w:t>135</w:t>
            </w:r>
          </w:p>
        </w:tc>
      </w:tr>
      <w:tr w:rsidR="00847F65" w:rsidRPr="00090E3A" w14:paraId="3AE706E5" w14:textId="77777777" w:rsidTr="00EF3882">
        <w:trPr>
          <w:trHeight w:val="300"/>
        </w:trPr>
        <w:tc>
          <w:tcPr>
            <w:tcW w:w="965" w:type="pct"/>
            <w:tcBorders>
              <w:top w:val="nil"/>
              <w:left w:val="nil"/>
              <w:bottom w:val="nil"/>
              <w:right w:val="nil"/>
            </w:tcBorders>
            <w:shd w:val="clear" w:color="auto" w:fill="auto"/>
            <w:noWrap/>
            <w:vAlign w:val="center"/>
            <w:hideMark/>
          </w:tcPr>
          <w:p w14:paraId="431EE979" w14:textId="77777777" w:rsidR="00847F65" w:rsidRPr="00090E3A" w:rsidRDefault="00847F65" w:rsidP="005E2B4C">
            <w:pPr>
              <w:rPr>
                <w:i/>
                <w:color w:val="000000"/>
                <w:sz w:val="18"/>
                <w:szCs w:val="18"/>
              </w:rPr>
            </w:pPr>
            <w:r w:rsidRPr="00090E3A">
              <w:rPr>
                <w:i/>
                <w:color w:val="000000"/>
                <w:sz w:val="18"/>
                <w:szCs w:val="18"/>
              </w:rPr>
              <w:t>No. Products</w:t>
            </w:r>
          </w:p>
        </w:tc>
        <w:tc>
          <w:tcPr>
            <w:tcW w:w="504" w:type="pct"/>
            <w:tcBorders>
              <w:top w:val="nil"/>
              <w:left w:val="nil"/>
              <w:bottom w:val="nil"/>
              <w:right w:val="nil"/>
            </w:tcBorders>
            <w:shd w:val="clear" w:color="auto" w:fill="auto"/>
            <w:noWrap/>
            <w:vAlign w:val="center"/>
            <w:hideMark/>
          </w:tcPr>
          <w:p w14:paraId="13EF8D18" w14:textId="77777777" w:rsidR="00847F65" w:rsidRPr="00090E3A" w:rsidRDefault="00847F65" w:rsidP="00090E3A">
            <w:pPr>
              <w:jc w:val="center"/>
              <w:rPr>
                <w:i/>
                <w:color w:val="000000"/>
                <w:sz w:val="18"/>
                <w:szCs w:val="18"/>
              </w:rPr>
            </w:pPr>
            <w:r w:rsidRPr="00090E3A">
              <w:rPr>
                <w:i/>
                <w:color w:val="000000"/>
                <w:sz w:val="18"/>
                <w:szCs w:val="18"/>
              </w:rPr>
              <w:t>673</w:t>
            </w:r>
          </w:p>
        </w:tc>
        <w:tc>
          <w:tcPr>
            <w:tcW w:w="504" w:type="pct"/>
            <w:tcBorders>
              <w:top w:val="nil"/>
              <w:left w:val="nil"/>
              <w:bottom w:val="nil"/>
              <w:right w:val="nil"/>
            </w:tcBorders>
            <w:shd w:val="clear" w:color="auto" w:fill="auto"/>
            <w:noWrap/>
            <w:vAlign w:val="center"/>
            <w:hideMark/>
          </w:tcPr>
          <w:p w14:paraId="680485CB" w14:textId="77777777" w:rsidR="00847F65" w:rsidRPr="00090E3A" w:rsidRDefault="00847F65" w:rsidP="00090E3A">
            <w:pPr>
              <w:jc w:val="center"/>
              <w:rPr>
                <w:i/>
                <w:color w:val="000000"/>
                <w:sz w:val="18"/>
                <w:szCs w:val="18"/>
              </w:rPr>
            </w:pPr>
            <w:r w:rsidRPr="00090E3A">
              <w:rPr>
                <w:i/>
                <w:color w:val="000000"/>
                <w:sz w:val="18"/>
                <w:szCs w:val="18"/>
              </w:rPr>
              <w:t>908</w:t>
            </w:r>
          </w:p>
        </w:tc>
        <w:tc>
          <w:tcPr>
            <w:tcW w:w="504" w:type="pct"/>
            <w:tcBorders>
              <w:top w:val="nil"/>
              <w:left w:val="nil"/>
              <w:bottom w:val="nil"/>
              <w:right w:val="nil"/>
            </w:tcBorders>
            <w:shd w:val="clear" w:color="auto" w:fill="auto"/>
            <w:noWrap/>
            <w:vAlign w:val="center"/>
            <w:hideMark/>
          </w:tcPr>
          <w:p w14:paraId="108D9FCE" w14:textId="77777777" w:rsidR="00847F65" w:rsidRPr="00090E3A" w:rsidRDefault="00847F65" w:rsidP="00090E3A">
            <w:pPr>
              <w:jc w:val="center"/>
              <w:rPr>
                <w:i/>
                <w:color w:val="000000"/>
                <w:sz w:val="18"/>
                <w:szCs w:val="18"/>
              </w:rPr>
            </w:pPr>
            <w:r w:rsidRPr="00090E3A">
              <w:rPr>
                <w:i/>
                <w:color w:val="000000"/>
                <w:sz w:val="18"/>
                <w:szCs w:val="18"/>
              </w:rPr>
              <w:t>673</w:t>
            </w:r>
          </w:p>
        </w:tc>
        <w:tc>
          <w:tcPr>
            <w:tcW w:w="505" w:type="pct"/>
            <w:tcBorders>
              <w:top w:val="nil"/>
              <w:left w:val="nil"/>
              <w:bottom w:val="nil"/>
              <w:right w:val="nil"/>
            </w:tcBorders>
            <w:shd w:val="clear" w:color="auto" w:fill="auto"/>
            <w:noWrap/>
            <w:vAlign w:val="center"/>
            <w:hideMark/>
          </w:tcPr>
          <w:p w14:paraId="24385A42" w14:textId="77777777" w:rsidR="00847F65" w:rsidRPr="00090E3A" w:rsidRDefault="00847F65" w:rsidP="00090E3A">
            <w:pPr>
              <w:jc w:val="center"/>
              <w:rPr>
                <w:i/>
                <w:color w:val="000000"/>
                <w:sz w:val="18"/>
                <w:szCs w:val="18"/>
              </w:rPr>
            </w:pPr>
            <w:r w:rsidRPr="00090E3A">
              <w:rPr>
                <w:i/>
                <w:color w:val="000000"/>
                <w:sz w:val="18"/>
                <w:szCs w:val="18"/>
              </w:rPr>
              <w:t>908</w:t>
            </w:r>
          </w:p>
        </w:tc>
        <w:tc>
          <w:tcPr>
            <w:tcW w:w="505" w:type="pct"/>
            <w:tcBorders>
              <w:top w:val="nil"/>
              <w:left w:val="single" w:sz="4" w:space="0" w:color="auto"/>
              <w:bottom w:val="nil"/>
              <w:right w:val="nil"/>
            </w:tcBorders>
            <w:shd w:val="clear" w:color="auto" w:fill="auto"/>
            <w:noWrap/>
            <w:vAlign w:val="center"/>
            <w:hideMark/>
          </w:tcPr>
          <w:p w14:paraId="20EB6733" w14:textId="77777777" w:rsidR="00847F65" w:rsidRPr="00090E3A" w:rsidRDefault="00847F65" w:rsidP="00090E3A">
            <w:pPr>
              <w:jc w:val="center"/>
              <w:rPr>
                <w:i/>
                <w:color w:val="000000"/>
                <w:sz w:val="18"/>
                <w:szCs w:val="18"/>
              </w:rPr>
            </w:pPr>
            <w:r w:rsidRPr="00090E3A">
              <w:rPr>
                <w:i/>
                <w:color w:val="000000"/>
                <w:sz w:val="18"/>
                <w:szCs w:val="18"/>
              </w:rPr>
              <w:t>345</w:t>
            </w:r>
          </w:p>
        </w:tc>
        <w:tc>
          <w:tcPr>
            <w:tcW w:w="505" w:type="pct"/>
            <w:tcBorders>
              <w:top w:val="nil"/>
              <w:left w:val="nil"/>
              <w:bottom w:val="nil"/>
              <w:right w:val="nil"/>
            </w:tcBorders>
            <w:shd w:val="clear" w:color="auto" w:fill="auto"/>
            <w:noWrap/>
            <w:vAlign w:val="center"/>
            <w:hideMark/>
          </w:tcPr>
          <w:p w14:paraId="01E2E579" w14:textId="77777777" w:rsidR="00847F65" w:rsidRPr="00090E3A" w:rsidRDefault="00847F65" w:rsidP="00090E3A">
            <w:pPr>
              <w:jc w:val="center"/>
              <w:rPr>
                <w:i/>
                <w:color w:val="000000"/>
                <w:sz w:val="18"/>
                <w:szCs w:val="18"/>
              </w:rPr>
            </w:pPr>
            <w:r w:rsidRPr="00090E3A">
              <w:rPr>
                <w:i/>
                <w:color w:val="000000"/>
                <w:sz w:val="18"/>
                <w:szCs w:val="18"/>
              </w:rPr>
              <w:t>504</w:t>
            </w:r>
          </w:p>
        </w:tc>
        <w:tc>
          <w:tcPr>
            <w:tcW w:w="505" w:type="pct"/>
            <w:tcBorders>
              <w:top w:val="nil"/>
              <w:left w:val="nil"/>
              <w:bottom w:val="nil"/>
              <w:right w:val="nil"/>
            </w:tcBorders>
            <w:shd w:val="clear" w:color="auto" w:fill="auto"/>
            <w:noWrap/>
            <w:vAlign w:val="center"/>
            <w:hideMark/>
          </w:tcPr>
          <w:p w14:paraId="788A138B" w14:textId="77777777" w:rsidR="00847F65" w:rsidRPr="00090E3A" w:rsidRDefault="00847F65" w:rsidP="00090E3A">
            <w:pPr>
              <w:jc w:val="center"/>
              <w:rPr>
                <w:i/>
                <w:color w:val="000000"/>
                <w:sz w:val="18"/>
                <w:szCs w:val="18"/>
              </w:rPr>
            </w:pPr>
            <w:r w:rsidRPr="00090E3A">
              <w:rPr>
                <w:i/>
                <w:color w:val="000000"/>
                <w:sz w:val="18"/>
                <w:szCs w:val="18"/>
              </w:rPr>
              <w:t>341</w:t>
            </w:r>
          </w:p>
        </w:tc>
        <w:tc>
          <w:tcPr>
            <w:tcW w:w="503" w:type="pct"/>
            <w:tcBorders>
              <w:top w:val="nil"/>
              <w:left w:val="nil"/>
              <w:bottom w:val="nil"/>
              <w:right w:val="nil"/>
            </w:tcBorders>
            <w:shd w:val="clear" w:color="auto" w:fill="auto"/>
            <w:noWrap/>
            <w:vAlign w:val="center"/>
            <w:hideMark/>
          </w:tcPr>
          <w:p w14:paraId="641CAB5D" w14:textId="77777777" w:rsidR="00847F65" w:rsidRPr="00090E3A" w:rsidRDefault="00847F65" w:rsidP="00090E3A">
            <w:pPr>
              <w:jc w:val="center"/>
              <w:rPr>
                <w:i/>
                <w:color w:val="000000"/>
                <w:sz w:val="18"/>
                <w:szCs w:val="18"/>
              </w:rPr>
            </w:pPr>
            <w:r w:rsidRPr="00090E3A">
              <w:rPr>
                <w:i/>
                <w:color w:val="000000"/>
                <w:sz w:val="18"/>
                <w:szCs w:val="18"/>
              </w:rPr>
              <w:t>494</w:t>
            </w:r>
          </w:p>
        </w:tc>
      </w:tr>
      <w:tr w:rsidR="00847F65" w:rsidRPr="00090E3A" w14:paraId="20BF09E3" w14:textId="77777777" w:rsidTr="00EF3882">
        <w:trPr>
          <w:trHeight w:val="300"/>
        </w:trPr>
        <w:tc>
          <w:tcPr>
            <w:tcW w:w="965" w:type="pct"/>
            <w:tcBorders>
              <w:top w:val="nil"/>
              <w:left w:val="nil"/>
              <w:bottom w:val="nil"/>
              <w:right w:val="nil"/>
            </w:tcBorders>
            <w:shd w:val="clear" w:color="auto" w:fill="auto"/>
            <w:noWrap/>
            <w:vAlign w:val="center"/>
            <w:hideMark/>
          </w:tcPr>
          <w:p w14:paraId="4C005F8C" w14:textId="77777777" w:rsidR="00847F65" w:rsidRPr="00090E3A" w:rsidRDefault="001521FE" w:rsidP="005E2B4C">
            <w:pPr>
              <w:rPr>
                <w:i/>
                <w:color w:val="000000"/>
                <w:sz w:val="18"/>
                <w:szCs w:val="18"/>
              </w:rPr>
            </w:pPr>
            <m:oMathPara>
              <m:oMathParaPr>
                <m:jc m:val="left"/>
              </m:oMathParaPr>
              <m:oMath>
                <m:sSup>
                  <m:sSupPr>
                    <m:ctrlPr>
                      <w:rPr>
                        <w:rFonts w:ascii="Cambria Math" w:hAnsi="Cambria Math"/>
                        <w:i/>
                        <w:color w:val="000000"/>
                        <w:sz w:val="18"/>
                        <w:szCs w:val="18"/>
                      </w:rPr>
                    </m:ctrlPr>
                  </m:sSupPr>
                  <m:e>
                    <m:r>
                      <w:rPr>
                        <w:rFonts w:ascii="Cambria Math" w:hAnsi="Cambria Math"/>
                        <w:color w:val="000000"/>
                        <w:sz w:val="18"/>
                        <w:szCs w:val="18"/>
                      </w:rPr>
                      <m:t>R</m:t>
                    </m:r>
                  </m:e>
                  <m:sup>
                    <m:r>
                      <w:rPr>
                        <w:rFonts w:ascii="Cambria Math" w:hAnsi="Cambria Math"/>
                        <w:color w:val="000000"/>
                        <w:sz w:val="18"/>
                        <w:szCs w:val="18"/>
                      </w:rPr>
                      <m:t>2</m:t>
                    </m:r>
                  </m:sup>
                </m:sSup>
              </m:oMath>
            </m:oMathPara>
          </w:p>
        </w:tc>
        <w:tc>
          <w:tcPr>
            <w:tcW w:w="504" w:type="pct"/>
            <w:tcBorders>
              <w:top w:val="nil"/>
              <w:left w:val="nil"/>
              <w:bottom w:val="nil"/>
              <w:right w:val="nil"/>
            </w:tcBorders>
            <w:shd w:val="clear" w:color="auto" w:fill="auto"/>
            <w:noWrap/>
            <w:vAlign w:val="center"/>
            <w:hideMark/>
          </w:tcPr>
          <w:p w14:paraId="455E6E54" w14:textId="77777777" w:rsidR="00847F65" w:rsidRPr="00090E3A" w:rsidRDefault="00847F65" w:rsidP="00090E3A">
            <w:pPr>
              <w:jc w:val="center"/>
              <w:rPr>
                <w:i/>
                <w:color w:val="000000"/>
                <w:sz w:val="18"/>
                <w:szCs w:val="18"/>
              </w:rPr>
            </w:pPr>
            <w:r w:rsidRPr="00090E3A">
              <w:rPr>
                <w:i/>
                <w:color w:val="000000"/>
                <w:sz w:val="18"/>
                <w:szCs w:val="18"/>
              </w:rPr>
              <w:t>0.113</w:t>
            </w:r>
          </w:p>
        </w:tc>
        <w:tc>
          <w:tcPr>
            <w:tcW w:w="504" w:type="pct"/>
            <w:tcBorders>
              <w:top w:val="nil"/>
              <w:left w:val="nil"/>
              <w:bottom w:val="nil"/>
              <w:right w:val="nil"/>
            </w:tcBorders>
            <w:shd w:val="clear" w:color="auto" w:fill="auto"/>
            <w:noWrap/>
            <w:vAlign w:val="center"/>
            <w:hideMark/>
          </w:tcPr>
          <w:p w14:paraId="52BB58A4" w14:textId="77777777" w:rsidR="00847F65" w:rsidRPr="00090E3A" w:rsidRDefault="00847F65" w:rsidP="00090E3A">
            <w:pPr>
              <w:jc w:val="center"/>
              <w:rPr>
                <w:i/>
                <w:color w:val="000000"/>
                <w:sz w:val="18"/>
                <w:szCs w:val="18"/>
              </w:rPr>
            </w:pPr>
            <w:r w:rsidRPr="00090E3A">
              <w:rPr>
                <w:i/>
                <w:color w:val="000000"/>
                <w:sz w:val="18"/>
                <w:szCs w:val="18"/>
              </w:rPr>
              <w:t>0.105</w:t>
            </w:r>
          </w:p>
        </w:tc>
        <w:tc>
          <w:tcPr>
            <w:tcW w:w="504" w:type="pct"/>
            <w:tcBorders>
              <w:top w:val="nil"/>
              <w:left w:val="nil"/>
              <w:bottom w:val="nil"/>
              <w:right w:val="nil"/>
            </w:tcBorders>
            <w:shd w:val="clear" w:color="auto" w:fill="auto"/>
            <w:noWrap/>
            <w:vAlign w:val="center"/>
            <w:hideMark/>
          </w:tcPr>
          <w:p w14:paraId="78447A65" w14:textId="77777777" w:rsidR="00847F65" w:rsidRPr="00090E3A" w:rsidRDefault="00847F65" w:rsidP="00090E3A">
            <w:pPr>
              <w:jc w:val="center"/>
              <w:rPr>
                <w:i/>
                <w:color w:val="000000"/>
                <w:sz w:val="18"/>
                <w:szCs w:val="18"/>
              </w:rPr>
            </w:pPr>
            <w:r w:rsidRPr="00090E3A">
              <w:rPr>
                <w:i/>
                <w:color w:val="000000"/>
                <w:sz w:val="18"/>
                <w:szCs w:val="18"/>
              </w:rPr>
              <w:t>0.115</w:t>
            </w:r>
          </w:p>
        </w:tc>
        <w:tc>
          <w:tcPr>
            <w:tcW w:w="505" w:type="pct"/>
            <w:tcBorders>
              <w:top w:val="nil"/>
              <w:left w:val="nil"/>
              <w:bottom w:val="nil"/>
              <w:right w:val="nil"/>
            </w:tcBorders>
            <w:shd w:val="clear" w:color="auto" w:fill="auto"/>
            <w:noWrap/>
            <w:vAlign w:val="center"/>
            <w:hideMark/>
          </w:tcPr>
          <w:p w14:paraId="76186754" w14:textId="77777777" w:rsidR="00847F65" w:rsidRPr="00090E3A" w:rsidRDefault="00847F65" w:rsidP="00090E3A">
            <w:pPr>
              <w:jc w:val="center"/>
              <w:rPr>
                <w:i/>
                <w:color w:val="000000"/>
                <w:sz w:val="18"/>
                <w:szCs w:val="18"/>
              </w:rPr>
            </w:pPr>
            <w:r w:rsidRPr="00090E3A">
              <w:rPr>
                <w:i/>
                <w:color w:val="000000"/>
                <w:sz w:val="18"/>
                <w:szCs w:val="18"/>
              </w:rPr>
              <w:t>0.108</w:t>
            </w:r>
          </w:p>
        </w:tc>
        <w:tc>
          <w:tcPr>
            <w:tcW w:w="505" w:type="pct"/>
            <w:tcBorders>
              <w:top w:val="nil"/>
              <w:left w:val="single" w:sz="4" w:space="0" w:color="auto"/>
              <w:bottom w:val="nil"/>
              <w:right w:val="nil"/>
            </w:tcBorders>
            <w:shd w:val="clear" w:color="auto" w:fill="auto"/>
            <w:noWrap/>
            <w:vAlign w:val="center"/>
            <w:hideMark/>
          </w:tcPr>
          <w:p w14:paraId="2140FE6C" w14:textId="77777777" w:rsidR="00847F65" w:rsidRPr="00090E3A" w:rsidRDefault="00847F65" w:rsidP="00090E3A">
            <w:pPr>
              <w:jc w:val="center"/>
              <w:rPr>
                <w:i/>
                <w:color w:val="000000"/>
                <w:sz w:val="18"/>
                <w:szCs w:val="18"/>
              </w:rPr>
            </w:pPr>
            <w:r w:rsidRPr="00090E3A">
              <w:rPr>
                <w:i/>
                <w:color w:val="000000"/>
                <w:sz w:val="18"/>
                <w:szCs w:val="18"/>
              </w:rPr>
              <w:t>0.113</w:t>
            </w:r>
          </w:p>
        </w:tc>
        <w:tc>
          <w:tcPr>
            <w:tcW w:w="505" w:type="pct"/>
            <w:tcBorders>
              <w:top w:val="nil"/>
              <w:left w:val="nil"/>
              <w:bottom w:val="nil"/>
              <w:right w:val="nil"/>
            </w:tcBorders>
            <w:shd w:val="clear" w:color="auto" w:fill="auto"/>
            <w:noWrap/>
            <w:vAlign w:val="center"/>
            <w:hideMark/>
          </w:tcPr>
          <w:p w14:paraId="556D4748" w14:textId="77777777" w:rsidR="00847F65" w:rsidRPr="00090E3A" w:rsidRDefault="00847F65" w:rsidP="00090E3A">
            <w:pPr>
              <w:jc w:val="center"/>
              <w:rPr>
                <w:i/>
                <w:color w:val="000000"/>
                <w:sz w:val="18"/>
                <w:szCs w:val="18"/>
              </w:rPr>
            </w:pPr>
            <w:r w:rsidRPr="00090E3A">
              <w:rPr>
                <w:i/>
                <w:color w:val="000000"/>
                <w:sz w:val="18"/>
                <w:szCs w:val="18"/>
              </w:rPr>
              <w:t>0.104</w:t>
            </w:r>
          </w:p>
        </w:tc>
        <w:tc>
          <w:tcPr>
            <w:tcW w:w="505" w:type="pct"/>
            <w:tcBorders>
              <w:top w:val="nil"/>
              <w:left w:val="nil"/>
              <w:bottom w:val="nil"/>
              <w:right w:val="nil"/>
            </w:tcBorders>
            <w:shd w:val="clear" w:color="auto" w:fill="auto"/>
            <w:noWrap/>
            <w:vAlign w:val="center"/>
            <w:hideMark/>
          </w:tcPr>
          <w:p w14:paraId="5C546B06" w14:textId="77777777" w:rsidR="00847F65" w:rsidRPr="00090E3A" w:rsidRDefault="00847F65" w:rsidP="00090E3A">
            <w:pPr>
              <w:jc w:val="center"/>
              <w:rPr>
                <w:i/>
                <w:color w:val="000000"/>
                <w:sz w:val="18"/>
                <w:szCs w:val="18"/>
              </w:rPr>
            </w:pPr>
            <w:r w:rsidRPr="00090E3A">
              <w:rPr>
                <w:i/>
                <w:color w:val="000000"/>
                <w:sz w:val="18"/>
                <w:szCs w:val="18"/>
              </w:rPr>
              <w:t>0.114</w:t>
            </w:r>
          </w:p>
        </w:tc>
        <w:tc>
          <w:tcPr>
            <w:tcW w:w="503" w:type="pct"/>
            <w:tcBorders>
              <w:top w:val="nil"/>
              <w:left w:val="nil"/>
              <w:bottom w:val="nil"/>
              <w:right w:val="nil"/>
            </w:tcBorders>
            <w:shd w:val="clear" w:color="auto" w:fill="auto"/>
            <w:noWrap/>
            <w:vAlign w:val="center"/>
            <w:hideMark/>
          </w:tcPr>
          <w:p w14:paraId="2D9AA52A" w14:textId="77777777" w:rsidR="00847F65" w:rsidRPr="00090E3A" w:rsidRDefault="00847F65" w:rsidP="00090E3A">
            <w:pPr>
              <w:jc w:val="center"/>
              <w:rPr>
                <w:i/>
                <w:color w:val="000000"/>
                <w:sz w:val="18"/>
                <w:szCs w:val="18"/>
              </w:rPr>
            </w:pPr>
            <w:r w:rsidRPr="00090E3A">
              <w:rPr>
                <w:i/>
                <w:color w:val="000000"/>
                <w:sz w:val="18"/>
                <w:szCs w:val="18"/>
              </w:rPr>
              <w:t>0.107</w:t>
            </w:r>
          </w:p>
        </w:tc>
      </w:tr>
      <w:tr w:rsidR="00847F65" w:rsidRPr="00090E3A" w14:paraId="35236A2A" w14:textId="77777777" w:rsidTr="00EF3882">
        <w:trPr>
          <w:trHeight w:val="300"/>
        </w:trPr>
        <w:tc>
          <w:tcPr>
            <w:tcW w:w="965" w:type="pct"/>
            <w:tcBorders>
              <w:top w:val="nil"/>
              <w:left w:val="nil"/>
              <w:bottom w:val="nil"/>
              <w:right w:val="nil"/>
            </w:tcBorders>
            <w:shd w:val="clear" w:color="auto" w:fill="auto"/>
            <w:noWrap/>
            <w:vAlign w:val="center"/>
            <w:hideMark/>
          </w:tcPr>
          <w:p w14:paraId="5BEB03D5" w14:textId="77777777" w:rsidR="00847F65" w:rsidRPr="00090E3A" w:rsidRDefault="00847F65" w:rsidP="005E2B4C">
            <w:pPr>
              <w:rPr>
                <w:i/>
                <w:color w:val="000000"/>
                <w:sz w:val="18"/>
                <w:szCs w:val="18"/>
              </w:rPr>
            </w:pPr>
            <w:r w:rsidRPr="00090E3A">
              <w:rPr>
                <w:i/>
                <w:color w:val="000000"/>
                <w:sz w:val="18"/>
                <w:szCs w:val="18"/>
              </w:rPr>
              <w:t>FE</w:t>
            </w:r>
          </w:p>
        </w:tc>
        <w:tc>
          <w:tcPr>
            <w:tcW w:w="504" w:type="pct"/>
            <w:tcBorders>
              <w:top w:val="nil"/>
              <w:left w:val="nil"/>
              <w:bottom w:val="nil"/>
              <w:right w:val="nil"/>
            </w:tcBorders>
            <w:shd w:val="clear" w:color="auto" w:fill="auto"/>
            <w:noWrap/>
            <w:vAlign w:val="center"/>
            <w:hideMark/>
          </w:tcPr>
          <w:p w14:paraId="61FEEF53" w14:textId="77777777" w:rsidR="00847F65" w:rsidRPr="00090E3A" w:rsidRDefault="00847F65" w:rsidP="00090E3A">
            <w:pPr>
              <w:jc w:val="center"/>
              <w:rPr>
                <w:i/>
                <w:color w:val="000000"/>
                <w:sz w:val="18"/>
                <w:szCs w:val="18"/>
              </w:rPr>
            </w:pPr>
            <w:r w:rsidRPr="00090E3A">
              <w:rPr>
                <w:i/>
                <w:color w:val="000000"/>
                <w:sz w:val="18"/>
                <w:szCs w:val="18"/>
              </w:rPr>
              <w:t>it,jt,kt</w:t>
            </w:r>
          </w:p>
        </w:tc>
        <w:tc>
          <w:tcPr>
            <w:tcW w:w="504" w:type="pct"/>
            <w:tcBorders>
              <w:top w:val="nil"/>
              <w:left w:val="nil"/>
              <w:bottom w:val="nil"/>
              <w:right w:val="nil"/>
            </w:tcBorders>
            <w:shd w:val="clear" w:color="auto" w:fill="auto"/>
            <w:noWrap/>
            <w:vAlign w:val="center"/>
            <w:hideMark/>
          </w:tcPr>
          <w:p w14:paraId="0C30210A" w14:textId="77777777" w:rsidR="00847F65" w:rsidRPr="00090E3A" w:rsidRDefault="00847F65" w:rsidP="00090E3A">
            <w:pPr>
              <w:jc w:val="center"/>
              <w:rPr>
                <w:i/>
                <w:color w:val="000000"/>
                <w:sz w:val="18"/>
                <w:szCs w:val="18"/>
              </w:rPr>
            </w:pPr>
            <w:r w:rsidRPr="00090E3A">
              <w:rPr>
                <w:i/>
                <w:color w:val="000000"/>
                <w:sz w:val="18"/>
                <w:szCs w:val="18"/>
              </w:rPr>
              <w:t>it,jt,kt</w:t>
            </w:r>
          </w:p>
        </w:tc>
        <w:tc>
          <w:tcPr>
            <w:tcW w:w="504" w:type="pct"/>
            <w:tcBorders>
              <w:top w:val="nil"/>
              <w:left w:val="nil"/>
              <w:bottom w:val="nil"/>
              <w:right w:val="nil"/>
            </w:tcBorders>
            <w:shd w:val="clear" w:color="auto" w:fill="auto"/>
            <w:noWrap/>
            <w:vAlign w:val="center"/>
            <w:hideMark/>
          </w:tcPr>
          <w:p w14:paraId="2D7046F7" w14:textId="77777777" w:rsidR="00847F65" w:rsidRPr="00090E3A" w:rsidRDefault="00847F65" w:rsidP="00090E3A">
            <w:pPr>
              <w:jc w:val="center"/>
              <w:rPr>
                <w:i/>
                <w:color w:val="000000"/>
                <w:sz w:val="18"/>
                <w:szCs w:val="18"/>
              </w:rPr>
            </w:pPr>
            <w:r w:rsidRPr="00090E3A">
              <w:rPr>
                <w:i/>
                <w:color w:val="000000"/>
                <w:sz w:val="18"/>
                <w:szCs w:val="18"/>
              </w:rPr>
              <w:t>it,jt,kt</w:t>
            </w:r>
          </w:p>
        </w:tc>
        <w:tc>
          <w:tcPr>
            <w:tcW w:w="505" w:type="pct"/>
            <w:tcBorders>
              <w:top w:val="nil"/>
              <w:left w:val="nil"/>
              <w:bottom w:val="nil"/>
              <w:right w:val="nil"/>
            </w:tcBorders>
            <w:shd w:val="clear" w:color="auto" w:fill="auto"/>
            <w:noWrap/>
            <w:vAlign w:val="center"/>
            <w:hideMark/>
          </w:tcPr>
          <w:p w14:paraId="475F2C66" w14:textId="77777777" w:rsidR="00847F65" w:rsidRPr="00090E3A" w:rsidRDefault="00847F65" w:rsidP="00090E3A">
            <w:pPr>
              <w:jc w:val="center"/>
              <w:rPr>
                <w:i/>
                <w:color w:val="000000"/>
                <w:sz w:val="18"/>
                <w:szCs w:val="18"/>
              </w:rPr>
            </w:pPr>
            <w:r w:rsidRPr="00090E3A">
              <w:rPr>
                <w:i/>
                <w:color w:val="000000"/>
                <w:sz w:val="18"/>
                <w:szCs w:val="18"/>
              </w:rPr>
              <w:t>it,jt,kt</w:t>
            </w:r>
          </w:p>
        </w:tc>
        <w:tc>
          <w:tcPr>
            <w:tcW w:w="505" w:type="pct"/>
            <w:tcBorders>
              <w:top w:val="nil"/>
              <w:left w:val="single" w:sz="4" w:space="0" w:color="auto"/>
              <w:bottom w:val="nil"/>
              <w:right w:val="nil"/>
            </w:tcBorders>
            <w:shd w:val="clear" w:color="auto" w:fill="auto"/>
            <w:noWrap/>
            <w:vAlign w:val="center"/>
            <w:hideMark/>
          </w:tcPr>
          <w:p w14:paraId="29372783" w14:textId="77777777" w:rsidR="00847F65" w:rsidRPr="00090E3A" w:rsidRDefault="00847F65" w:rsidP="00090E3A">
            <w:pPr>
              <w:jc w:val="center"/>
              <w:rPr>
                <w:i/>
                <w:color w:val="000000"/>
                <w:sz w:val="18"/>
                <w:szCs w:val="18"/>
              </w:rPr>
            </w:pPr>
            <w:r w:rsidRPr="00090E3A">
              <w:rPr>
                <w:i/>
                <w:color w:val="000000"/>
                <w:sz w:val="18"/>
                <w:szCs w:val="18"/>
              </w:rPr>
              <w:t>it,jt,kt</w:t>
            </w:r>
          </w:p>
        </w:tc>
        <w:tc>
          <w:tcPr>
            <w:tcW w:w="505" w:type="pct"/>
            <w:tcBorders>
              <w:top w:val="nil"/>
              <w:left w:val="nil"/>
              <w:bottom w:val="nil"/>
              <w:right w:val="nil"/>
            </w:tcBorders>
            <w:shd w:val="clear" w:color="auto" w:fill="auto"/>
            <w:noWrap/>
            <w:vAlign w:val="center"/>
            <w:hideMark/>
          </w:tcPr>
          <w:p w14:paraId="43F399FE" w14:textId="77777777" w:rsidR="00847F65" w:rsidRPr="00090E3A" w:rsidRDefault="00847F65" w:rsidP="00090E3A">
            <w:pPr>
              <w:jc w:val="center"/>
              <w:rPr>
                <w:i/>
                <w:color w:val="000000"/>
                <w:sz w:val="18"/>
                <w:szCs w:val="18"/>
              </w:rPr>
            </w:pPr>
            <w:r w:rsidRPr="00090E3A">
              <w:rPr>
                <w:i/>
                <w:color w:val="000000"/>
                <w:sz w:val="18"/>
                <w:szCs w:val="18"/>
              </w:rPr>
              <w:t>it,jt,kt</w:t>
            </w:r>
          </w:p>
        </w:tc>
        <w:tc>
          <w:tcPr>
            <w:tcW w:w="505" w:type="pct"/>
            <w:tcBorders>
              <w:top w:val="nil"/>
              <w:left w:val="nil"/>
              <w:bottom w:val="nil"/>
              <w:right w:val="nil"/>
            </w:tcBorders>
            <w:shd w:val="clear" w:color="auto" w:fill="auto"/>
            <w:noWrap/>
            <w:vAlign w:val="center"/>
            <w:hideMark/>
          </w:tcPr>
          <w:p w14:paraId="73677119" w14:textId="77777777" w:rsidR="00847F65" w:rsidRPr="00090E3A" w:rsidRDefault="00847F65" w:rsidP="00090E3A">
            <w:pPr>
              <w:jc w:val="center"/>
              <w:rPr>
                <w:i/>
                <w:color w:val="000000"/>
                <w:sz w:val="18"/>
                <w:szCs w:val="18"/>
              </w:rPr>
            </w:pPr>
            <w:r w:rsidRPr="00090E3A">
              <w:rPr>
                <w:i/>
                <w:color w:val="000000"/>
                <w:sz w:val="18"/>
                <w:szCs w:val="18"/>
              </w:rPr>
              <w:t>it,jt,kt</w:t>
            </w:r>
          </w:p>
        </w:tc>
        <w:tc>
          <w:tcPr>
            <w:tcW w:w="503" w:type="pct"/>
            <w:tcBorders>
              <w:top w:val="nil"/>
              <w:left w:val="nil"/>
              <w:bottom w:val="nil"/>
              <w:right w:val="nil"/>
            </w:tcBorders>
            <w:shd w:val="clear" w:color="auto" w:fill="auto"/>
            <w:noWrap/>
            <w:vAlign w:val="center"/>
            <w:hideMark/>
          </w:tcPr>
          <w:p w14:paraId="626AC564" w14:textId="77777777" w:rsidR="00847F65" w:rsidRPr="00090E3A" w:rsidRDefault="00847F65" w:rsidP="00090E3A">
            <w:pPr>
              <w:jc w:val="center"/>
              <w:rPr>
                <w:i/>
                <w:color w:val="000000"/>
                <w:sz w:val="18"/>
                <w:szCs w:val="18"/>
              </w:rPr>
            </w:pPr>
            <w:r w:rsidRPr="00090E3A">
              <w:rPr>
                <w:i/>
                <w:color w:val="000000"/>
                <w:sz w:val="18"/>
                <w:szCs w:val="18"/>
              </w:rPr>
              <w:t>it,jt,kt</w:t>
            </w:r>
          </w:p>
        </w:tc>
      </w:tr>
      <w:tr w:rsidR="00847F65" w:rsidRPr="00090E3A" w14:paraId="61A454B8" w14:textId="77777777" w:rsidTr="00EF3882">
        <w:trPr>
          <w:trHeight w:val="320"/>
        </w:trPr>
        <w:tc>
          <w:tcPr>
            <w:tcW w:w="965" w:type="pct"/>
            <w:tcBorders>
              <w:top w:val="nil"/>
              <w:left w:val="nil"/>
              <w:bottom w:val="double" w:sz="6" w:space="0" w:color="auto"/>
              <w:right w:val="nil"/>
            </w:tcBorders>
            <w:shd w:val="clear" w:color="auto" w:fill="auto"/>
            <w:noWrap/>
            <w:vAlign w:val="center"/>
            <w:hideMark/>
          </w:tcPr>
          <w:p w14:paraId="2AACA91F" w14:textId="77777777" w:rsidR="00847F65" w:rsidRPr="00090E3A" w:rsidRDefault="00090E3A" w:rsidP="005E2B4C">
            <w:pPr>
              <w:rPr>
                <w:i/>
                <w:color w:val="000000"/>
                <w:sz w:val="18"/>
                <w:szCs w:val="18"/>
              </w:rPr>
            </w:pPr>
            <m:oMathPara>
              <m:oMathParaPr>
                <m:jc m:val="left"/>
              </m:oMathParaPr>
              <m:oMath>
                <m:r>
                  <w:rPr>
                    <w:rFonts w:ascii="Cambria Math" w:hAnsi="Cambria Math"/>
                    <w:color w:val="000000"/>
                    <w:sz w:val="18"/>
                    <w:szCs w:val="18"/>
                  </w:rPr>
                  <m:t>Total AT</m:t>
                </m:r>
                <m:sSup>
                  <m:sSupPr>
                    <m:ctrlPr>
                      <w:rPr>
                        <w:rFonts w:ascii="Cambria Math" w:hAnsi="Cambria Math"/>
                        <w:i/>
                        <w:color w:val="000000"/>
                        <w:sz w:val="18"/>
                        <w:szCs w:val="18"/>
                      </w:rPr>
                    </m:ctrlPr>
                  </m:sSupPr>
                  <m:e>
                    <m:r>
                      <w:rPr>
                        <w:rFonts w:ascii="Cambria Math" w:hAnsi="Cambria Math"/>
                        <w:color w:val="000000"/>
                        <w:sz w:val="18"/>
                        <w:szCs w:val="18"/>
                      </w:rPr>
                      <m:t>E</m:t>
                    </m:r>
                  </m:e>
                  <m:sup>
                    <m:r>
                      <w:rPr>
                        <w:rFonts w:ascii="Cambria Math" w:hAnsi="Cambria Math"/>
                        <w:color w:val="000000"/>
                        <w:sz w:val="18"/>
                        <w:szCs w:val="18"/>
                      </w:rPr>
                      <m:t>a</m:t>
                    </m:r>
                  </m:sup>
                </m:sSup>
              </m:oMath>
            </m:oMathPara>
          </w:p>
        </w:tc>
        <w:tc>
          <w:tcPr>
            <w:tcW w:w="504" w:type="pct"/>
            <w:tcBorders>
              <w:top w:val="nil"/>
              <w:left w:val="nil"/>
              <w:bottom w:val="double" w:sz="6" w:space="0" w:color="auto"/>
              <w:right w:val="nil"/>
            </w:tcBorders>
            <w:shd w:val="clear" w:color="auto" w:fill="auto"/>
            <w:noWrap/>
            <w:vAlign w:val="center"/>
            <w:hideMark/>
          </w:tcPr>
          <w:p w14:paraId="3CE0D843" w14:textId="77777777" w:rsidR="00847F65" w:rsidRPr="00090E3A" w:rsidRDefault="00847F65" w:rsidP="00090E3A">
            <w:pPr>
              <w:jc w:val="center"/>
              <w:rPr>
                <w:i/>
                <w:color w:val="000000"/>
                <w:sz w:val="18"/>
                <w:szCs w:val="18"/>
              </w:rPr>
            </w:pPr>
            <w:r w:rsidRPr="00090E3A">
              <w:rPr>
                <w:i/>
                <w:color w:val="000000"/>
                <w:sz w:val="18"/>
                <w:szCs w:val="18"/>
              </w:rPr>
              <w:t>121%</w:t>
            </w:r>
          </w:p>
        </w:tc>
        <w:tc>
          <w:tcPr>
            <w:tcW w:w="504" w:type="pct"/>
            <w:tcBorders>
              <w:top w:val="nil"/>
              <w:left w:val="nil"/>
              <w:bottom w:val="double" w:sz="6" w:space="0" w:color="auto"/>
              <w:right w:val="nil"/>
            </w:tcBorders>
            <w:shd w:val="clear" w:color="auto" w:fill="auto"/>
            <w:noWrap/>
            <w:vAlign w:val="center"/>
            <w:hideMark/>
          </w:tcPr>
          <w:p w14:paraId="18D55F8E" w14:textId="77777777" w:rsidR="00847F65" w:rsidRPr="00090E3A" w:rsidRDefault="00847F65" w:rsidP="00090E3A">
            <w:pPr>
              <w:jc w:val="center"/>
              <w:rPr>
                <w:i/>
                <w:color w:val="000000"/>
                <w:sz w:val="18"/>
                <w:szCs w:val="18"/>
              </w:rPr>
            </w:pPr>
            <w:r w:rsidRPr="00090E3A">
              <w:rPr>
                <w:i/>
                <w:color w:val="000000"/>
                <w:sz w:val="18"/>
                <w:szCs w:val="18"/>
              </w:rPr>
              <w:t>131%</w:t>
            </w:r>
          </w:p>
        </w:tc>
        <w:tc>
          <w:tcPr>
            <w:tcW w:w="504" w:type="pct"/>
            <w:tcBorders>
              <w:top w:val="nil"/>
              <w:left w:val="nil"/>
              <w:bottom w:val="double" w:sz="6" w:space="0" w:color="auto"/>
              <w:right w:val="nil"/>
            </w:tcBorders>
            <w:shd w:val="clear" w:color="auto" w:fill="auto"/>
            <w:noWrap/>
            <w:vAlign w:val="center"/>
            <w:hideMark/>
          </w:tcPr>
          <w:p w14:paraId="4CBF7C90" w14:textId="77777777" w:rsidR="00847F65" w:rsidRPr="00090E3A" w:rsidRDefault="00847F65" w:rsidP="00090E3A">
            <w:pPr>
              <w:jc w:val="center"/>
              <w:rPr>
                <w:i/>
                <w:color w:val="000000"/>
                <w:sz w:val="18"/>
                <w:szCs w:val="18"/>
              </w:rPr>
            </w:pPr>
            <w:r w:rsidRPr="00090E3A">
              <w:rPr>
                <w:i/>
                <w:color w:val="000000"/>
                <w:sz w:val="18"/>
                <w:szCs w:val="18"/>
              </w:rPr>
              <w:t>42%</w:t>
            </w:r>
          </w:p>
        </w:tc>
        <w:tc>
          <w:tcPr>
            <w:tcW w:w="505" w:type="pct"/>
            <w:tcBorders>
              <w:top w:val="nil"/>
              <w:left w:val="nil"/>
              <w:bottom w:val="double" w:sz="6" w:space="0" w:color="auto"/>
              <w:right w:val="nil"/>
            </w:tcBorders>
            <w:shd w:val="clear" w:color="auto" w:fill="auto"/>
            <w:noWrap/>
            <w:vAlign w:val="center"/>
            <w:hideMark/>
          </w:tcPr>
          <w:p w14:paraId="691A8012" w14:textId="77777777" w:rsidR="00847F65" w:rsidRPr="00090E3A" w:rsidRDefault="00847F65" w:rsidP="00090E3A">
            <w:pPr>
              <w:jc w:val="center"/>
              <w:rPr>
                <w:i/>
                <w:color w:val="000000"/>
                <w:sz w:val="18"/>
                <w:szCs w:val="18"/>
              </w:rPr>
            </w:pPr>
            <w:r w:rsidRPr="00090E3A">
              <w:rPr>
                <w:i/>
                <w:color w:val="000000"/>
                <w:sz w:val="18"/>
                <w:szCs w:val="18"/>
              </w:rPr>
              <w:t>42%</w:t>
            </w:r>
          </w:p>
        </w:tc>
        <w:tc>
          <w:tcPr>
            <w:tcW w:w="505" w:type="pct"/>
            <w:tcBorders>
              <w:top w:val="nil"/>
              <w:left w:val="single" w:sz="4" w:space="0" w:color="auto"/>
              <w:bottom w:val="double" w:sz="6" w:space="0" w:color="auto"/>
              <w:right w:val="nil"/>
            </w:tcBorders>
            <w:shd w:val="clear" w:color="auto" w:fill="auto"/>
            <w:noWrap/>
            <w:vAlign w:val="center"/>
            <w:hideMark/>
          </w:tcPr>
          <w:p w14:paraId="38B011A0" w14:textId="77777777" w:rsidR="00847F65" w:rsidRPr="00090E3A" w:rsidRDefault="00847F65" w:rsidP="00090E3A">
            <w:pPr>
              <w:jc w:val="center"/>
              <w:rPr>
                <w:i/>
                <w:color w:val="000000"/>
                <w:sz w:val="18"/>
                <w:szCs w:val="18"/>
              </w:rPr>
            </w:pPr>
            <w:r w:rsidRPr="00090E3A">
              <w:rPr>
                <w:i/>
                <w:color w:val="000000"/>
                <w:sz w:val="18"/>
                <w:szCs w:val="18"/>
              </w:rPr>
              <w:t>153%</w:t>
            </w:r>
          </w:p>
        </w:tc>
        <w:tc>
          <w:tcPr>
            <w:tcW w:w="505" w:type="pct"/>
            <w:tcBorders>
              <w:top w:val="nil"/>
              <w:left w:val="nil"/>
              <w:bottom w:val="double" w:sz="6" w:space="0" w:color="auto"/>
              <w:right w:val="nil"/>
            </w:tcBorders>
            <w:shd w:val="clear" w:color="auto" w:fill="auto"/>
            <w:noWrap/>
            <w:vAlign w:val="center"/>
            <w:hideMark/>
          </w:tcPr>
          <w:p w14:paraId="55A0EDDB" w14:textId="77777777" w:rsidR="00847F65" w:rsidRPr="00090E3A" w:rsidRDefault="00847F65" w:rsidP="00090E3A">
            <w:pPr>
              <w:jc w:val="center"/>
              <w:rPr>
                <w:i/>
                <w:color w:val="000000"/>
                <w:sz w:val="18"/>
                <w:szCs w:val="18"/>
              </w:rPr>
            </w:pPr>
            <w:r w:rsidRPr="00090E3A">
              <w:rPr>
                <w:i/>
                <w:color w:val="000000"/>
                <w:sz w:val="18"/>
                <w:szCs w:val="18"/>
              </w:rPr>
              <w:t>163%</w:t>
            </w:r>
          </w:p>
        </w:tc>
        <w:tc>
          <w:tcPr>
            <w:tcW w:w="505" w:type="pct"/>
            <w:tcBorders>
              <w:top w:val="nil"/>
              <w:left w:val="nil"/>
              <w:bottom w:val="double" w:sz="6" w:space="0" w:color="auto"/>
              <w:right w:val="nil"/>
            </w:tcBorders>
            <w:shd w:val="clear" w:color="auto" w:fill="auto"/>
            <w:noWrap/>
            <w:vAlign w:val="center"/>
            <w:hideMark/>
          </w:tcPr>
          <w:p w14:paraId="19D1D662" w14:textId="77777777" w:rsidR="00847F65" w:rsidRPr="00090E3A" w:rsidRDefault="00847F65" w:rsidP="00090E3A">
            <w:pPr>
              <w:jc w:val="center"/>
              <w:rPr>
                <w:i/>
                <w:color w:val="000000"/>
                <w:sz w:val="18"/>
                <w:szCs w:val="18"/>
              </w:rPr>
            </w:pPr>
            <w:r w:rsidRPr="00090E3A">
              <w:rPr>
                <w:i/>
                <w:color w:val="000000"/>
                <w:sz w:val="18"/>
                <w:szCs w:val="18"/>
              </w:rPr>
              <w:t>67%</w:t>
            </w:r>
          </w:p>
        </w:tc>
        <w:tc>
          <w:tcPr>
            <w:tcW w:w="503" w:type="pct"/>
            <w:tcBorders>
              <w:top w:val="nil"/>
              <w:left w:val="nil"/>
              <w:bottom w:val="double" w:sz="6" w:space="0" w:color="auto"/>
              <w:right w:val="nil"/>
            </w:tcBorders>
            <w:shd w:val="clear" w:color="auto" w:fill="auto"/>
            <w:noWrap/>
            <w:vAlign w:val="center"/>
            <w:hideMark/>
          </w:tcPr>
          <w:p w14:paraId="221A2FB1" w14:textId="77777777" w:rsidR="00847F65" w:rsidRPr="00090E3A" w:rsidRDefault="00847F65" w:rsidP="00090E3A">
            <w:pPr>
              <w:jc w:val="center"/>
              <w:rPr>
                <w:i/>
                <w:color w:val="000000"/>
                <w:sz w:val="18"/>
                <w:szCs w:val="18"/>
              </w:rPr>
            </w:pPr>
            <w:r w:rsidRPr="00090E3A">
              <w:rPr>
                <w:i/>
                <w:color w:val="000000"/>
                <w:sz w:val="18"/>
                <w:szCs w:val="18"/>
              </w:rPr>
              <w:t>67%</w:t>
            </w:r>
          </w:p>
        </w:tc>
      </w:tr>
    </w:tbl>
    <w:p w14:paraId="7852F241" w14:textId="77777777" w:rsidR="00EF3882" w:rsidRPr="00090E3A" w:rsidRDefault="00EF3882" w:rsidP="00EF3882">
      <w:pPr>
        <w:rPr>
          <w:rFonts w:ascii="Times" w:eastAsiaTheme="minorHAnsi" w:hAnsi="Times"/>
          <w:i/>
          <w:sz w:val="22"/>
          <w:szCs w:val="20"/>
        </w:rPr>
      </w:pPr>
      <w:r w:rsidRPr="00090E3A">
        <w:rPr>
          <w:rFonts w:ascii="Times" w:eastAsiaTheme="minorHAnsi" w:hAnsi="Times"/>
          <w:i/>
          <w:sz w:val="22"/>
          <w:szCs w:val="20"/>
        </w:rPr>
        <w:t>Standard errors in parentheses</w:t>
      </w:r>
    </w:p>
    <w:p w14:paraId="21249888" w14:textId="77777777" w:rsidR="00EF3882" w:rsidRPr="00090E3A" w:rsidRDefault="00EF3882" w:rsidP="00EF3882">
      <w:pPr>
        <w:rPr>
          <w:rFonts w:ascii="Times" w:eastAsiaTheme="minorHAnsi" w:hAnsi="Times"/>
          <w:i/>
          <w:sz w:val="22"/>
          <w:szCs w:val="20"/>
        </w:rPr>
      </w:pPr>
      <w:r w:rsidRPr="00090E3A">
        <w:rPr>
          <w:rFonts w:ascii="Times" w:eastAsiaTheme="minorHAnsi" w:hAnsi="Times"/>
          <w:i/>
          <w:sz w:val="22"/>
          <w:szCs w:val="20"/>
        </w:rPr>
        <w:t>* p&lt;0.05, ** p&lt;0.01,  *** p&lt;0.001</w:t>
      </w:r>
    </w:p>
    <w:p w14:paraId="13FC690F" w14:textId="77777777" w:rsidR="00EF3882" w:rsidRPr="00090E3A" w:rsidRDefault="00EF3882" w:rsidP="00EF3882">
      <w:pPr>
        <w:rPr>
          <w:rFonts w:ascii="Times" w:eastAsiaTheme="minorHAnsi" w:hAnsi="Times"/>
          <w:i/>
          <w:sz w:val="22"/>
          <w:szCs w:val="20"/>
        </w:rPr>
      </w:pPr>
      <m:oMath>
        <m:r>
          <w:rPr>
            <w:rFonts w:ascii="Cambria Math" w:eastAsiaTheme="minorHAnsi" w:hAnsi="Cambria Math"/>
            <w:sz w:val="22"/>
            <w:szCs w:val="20"/>
          </w:rPr>
          <m:t xml:space="preserve">a </m:t>
        </m:r>
      </m:oMath>
      <w:r w:rsidRPr="00090E3A">
        <w:rPr>
          <w:rFonts w:ascii="Times" w:eastAsiaTheme="minorHAnsi" w:hAnsi="Times"/>
          <w:i/>
          <w:sz w:val="22"/>
          <w:szCs w:val="20"/>
        </w:rPr>
        <w:t>Total ATE is the sum of statistically significant container estimates.</w:t>
      </w:r>
    </w:p>
    <w:p w14:paraId="55571B25" w14:textId="77777777" w:rsidR="00EF3882" w:rsidRPr="00090E3A" w:rsidRDefault="00EF3882" w:rsidP="00EF3882">
      <w:pPr>
        <w:rPr>
          <w:rFonts w:ascii="Times" w:eastAsiaTheme="minorHAnsi" w:hAnsi="Times"/>
          <w:i/>
          <w:sz w:val="22"/>
          <w:szCs w:val="20"/>
        </w:rPr>
      </w:pPr>
      <w:r w:rsidRPr="00090E3A">
        <w:rPr>
          <w:rFonts w:ascii="Times" w:eastAsiaTheme="minorHAnsi" w:hAnsi="Times"/>
          <w:i/>
          <w:sz w:val="22"/>
          <w:szCs w:val="20"/>
        </w:rPr>
        <w:t>i denotes origin country, j destination country and t denotes time</w:t>
      </w:r>
    </w:p>
    <w:p w14:paraId="09B94B36" w14:textId="77777777" w:rsidR="000C05F7" w:rsidRDefault="000C05F7" w:rsidP="00A91E23">
      <w:pPr>
        <w:spacing w:line="360" w:lineRule="auto"/>
        <w:jc w:val="both"/>
        <w:rPr>
          <w:b/>
        </w:rPr>
      </w:pPr>
    </w:p>
    <w:p w14:paraId="24871842" w14:textId="77777777" w:rsidR="000213BB" w:rsidRDefault="000213BB" w:rsidP="00A91E23">
      <w:pPr>
        <w:spacing w:line="360" w:lineRule="auto"/>
        <w:jc w:val="both"/>
        <w:rPr>
          <w:b/>
        </w:rPr>
      </w:pPr>
    </w:p>
    <w:p w14:paraId="6DBA53F2" w14:textId="77777777" w:rsidR="00A91E23" w:rsidRPr="00EF40F2" w:rsidRDefault="00A91E23" w:rsidP="00A91E23">
      <w:pPr>
        <w:spacing w:line="360" w:lineRule="auto"/>
        <w:jc w:val="both"/>
        <w:rPr>
          <w:b/>
        </w:rPr>
      </w:pPr>
      <w:r w:rsidRPr="00C80F88">
        <w:rPr>
          <w:b/>
        </w:rPr>
        <w:t>4</w:t>
      </w:r>
      <w:r>
        <w:rPr>
          <w:b/>
        </w:rPr>
        <w:t>. Conclusion</w:t>
      </w:r>
    </w:p>
    <w:p w14:paraId="20335F0E" w14:textId="77777777" w:rsidR="007A502A" w:rsidRDefault="00396241" w:rsidP="004F45BA">
      <w:pPr>
        <w:tabs>
          <w:tab w:val="left" w:pos="2127"/>
        </w:tabs>
        <w:spacing w:line="360" w:lineRule="auto"/>
        <w:ind w:firstLine="720"/>
        <w:jc w:val="both"/>
      </w:pPr>
      <w:r>
        <w:t xml:space="preserve">International trade is a key dimension of globalization and globalization plays a central for economic development and economic growth.  But what are the drivers of international trade and globalization?  </w:t>
      </w:r>
      <w:r w:rsidR="007A502A">
        <w:t>B</w:t>
      </w:r>
      <w:r>
        <w:t>usiness experts</w:t>
      </w:r>
      <w:r w:rsidR="007A502A">
        <w:t xml:space="preserve"> and historians </w:t>
      </w:r>
      <w:r>
        <w:t>who have studied</w:t>
      </w:r>
      <w:r w:rsidR="007A502A">
        <w:t xml:space="preserve"> or made a living from the shipment</w:t>
      </w:r>
      <w:r>
        <w:t xml:space="preserve"> of goods across </w:t>
      </w:r>
      <w:r w:rsidR="007A502A">
        <w:t xml:space="preserve">international </w:t>
      </w:r>
      <w:r>
        <w:t xml:space="preserve">borders have long conjectured that “the shipping container made the world smaller and the world economy bigger” (Levinson’s (2006) subtitle).  </w:t>
      </w:r>
      <w:r w:rsidR="000532C8">
        <w:t>In his recent world history of technology, Daniel Headrick (2009, p.146) discusses containerization as the major 20</w:t>
      </w:r>
      <w:r w:rsidR="000532C8" w:rsidRPr="000532C8">
        <w:rPr>
          <w:vertAlign w:val="superscript"/>
        </w:rPr>
        <w:t>th</w:t>
      </w:r>
      <w:r w:rsidR="000532C8">
        <w:t xml:space="preserve"> century technological change that “…has propelled the globalization of the world economy”. </w:t>
      </w:r>
      <w:r w:rsidR="007A502A">
        <w:t xml:space="preserve"> </w:t>
      </w:r>
      <w:r w:rsidR="004F45BA">
        <w:t xml:space="preserve">To the best of our knowledge, we are </w:t>
      </w:r>
      <w:r w:rsidR="007A502A">
        <w:t>the first attempt to examine these claims in a rigorous manner. Our findings suggest indeed large effects of containerization, for world trade and North-North trade. For the in</w:t>
      </w:r>
      <w:r w:rsidR="005F1642">
        <w:t xml:space="preserve">dustrial world, we provide </w:t>
      </w:r>
      <w:r w:rsidR="007A502A">
        <w:t>causal evidence for containerization to be a large driver of 20</w:t>
      </w:r>
      <w:r w:rsidR="007A502A" w:rsidRPr="007A502A">
        <w:rPr>
          <w:vertAlign w:val="superscript"/>
        </w:rPr>
        <w:t>th</w:t>
      </w:r>
      <w:r w:rsidR="007A502A">
        <w:t xml:space="preserve"> century globalization.</w:t>
      </w:r>
      <w:r w:rsidR="00564A20">
        <w:t xml:space="preserve">  However, for trade involving developing economies the long-term effects of the container revolution were relatively small.</w:t>
      </w:r>
    </w:p>
    <w:p w14:paraId="6DD2648A" w14:textId="77777777" w:rsidR="00A07460" w:rsidRDefault="00840EF4" w:rsidP="00396241">
      <w:pPr>
        <w:spacing w:line="360" w:lineRule="auto"/>
        <w:ind w:firstLine="720"/>
        <w:jc w:val="both"/>
      </w:pPr>
      <w:r>
        <w:lastRenderedPageBreak/>
        <w:t xml:space="preserve">The findings in this paper </w:t>
      </w:r>
      <w:r w:rsidR="001B5ED4">
        <w:t xml:space="preserve">should be </w:t>
      </w:r>
      <w:r>
        <w:t>of interest beyond academia.</w:t>
      </w:r>
      <w:r w:rsidR="001B5ED4">
        <w:t xml:space="preserve">  In assessing its support for trade, the World Bank has recognized the importance of trade barriers beyond tariffs (World Bank Independent Evaluation Group, 2006).</w:t>
      </w:r>
      <w:r>
        <w:t xml:space="preserve"> </w:t>
      </w:r>
      <w:r w:rsidR="001B5ED4">
        <w:t xml:space="preserve">In fact, </w:t>
      </w:r>
      <w:r w:rsidR="00A07460">
        <w:t>a significant portion of the World Bank’s lending budget is allocated to transportation infrastructure projects</w:t>
      </w:r>
      <w:r w:rsidR="00844A68">
        <w:rPr>
          <w:rStyle w:val="FootnoteReference"/>
        </w:rPr>
        <w:footnoteReference w:id="33"/>
      </w:r>
      <w:r w:rsidR="00A07460">
        <w:t xml:space="preserve">.  However quantitative studies on the impacts of transportation infrastructure on the magnitude and patterns of international specialization  </w:t>
      </w:r>
    </w:p>
    <w:p w14:paraId="3B67F4C6" w14:textId="77777777" w:rsidR="00505328" w:rsidRDefault="00A07460" w:rsidP="00A07460">
      <w:pPr>
        <w:spacing w:line="360" w:lineRule="auto"/>
        <w:jc w:val="both"/>
      </w:pPr>
      <w:r>
        <w:t>are still in its infancy.</w:t>
      </w:r>
      <w:r w:rsidR="00844A68">
        <w:t xml:space="preserve"> </w:t>
      </w:r>
      <w:r w:rsidR="00505328">
        <w:t xml:space="preserve"> </w:t>
      </w:r>
      <w:r w:rsidR="00844A68">
        <w:t xml:space="preserve">The estimates in our study suggest that </w:t>
      </w:r>
      <w:r w:rsidR="00505328">
        <w:t xml:space="preserve">the effects of the adoption of port containerization on trade involving developing economies was relatively small compared to trade among industrialized countries characterized by better domestic infrastructures. Our identification strategy </w:t>
      </w:r>
      <w:r w:rsidR="0035539C">
        <w:t xml:space="preserve"> </w:t>
      </w:r>
      <w:r w:rsidR="00D217EA">
        <w:t xml:space="preserve">allowed </w:t>
      </w:r>
      <w:r w:rsidR="00505328">
        <w:t xml:space="preserve">us to draw inferences for </w:t>
      </w:r>
      <w:r w:rsidR="00D217EA">
        <w:t>what might be called ‘the e</w:t>
      </w:r>
      <w:r w:rsidR="00505328">
        <w:t xml:space="preserve">arly period of </w:t>
      </w:r>
      <w:r w:rsidR="00D217EA">
        <w:t>the container age:</w:t>
      </w:r>
      <w:r w:rsidR="00505328">
        <w:t xml:space="preserve"> 1966-1990</w:t>
      </w:r>
      <w:r w:rsidR="00D217EA">
        <w:t>’</w:t>
      </w:r>
      <w:r w:rsidR="00505328">
        <w:t xml:space="preserve">. </w:t>
      </w:r>
      <w:r w:rsidR="00D217EA">
        <w:t xml:space="preserve"> </w:t>
      </w:r>
      <w:r w:rsidR="00505328">
        <w:t xml:space="preserve">We leave it for future research to assess the effects of containerization for the post 1990 period. </w:t>
      </w:r>
    </w:p>
    <w:p w14:paraId="1E262679" w14:textId="77777777" w:rsidR="00844A68" w:rsidRDefault="00844A68" w:rsidP="00A07460">
      <w:pPr>
        <w:spacing w:line="360" w:lineRule="auto"/>
        <w:jc w:val="both"/>
      </w:pPr>
    </w:p>
    <w:p w14:paraId="389EC1EE" w14:textId="77777777" w:rsidR="007A502A" w:rsidRDefault="007A502A" w:rsidP="00A07460">
      <w:pPr>
        <w:spacing w:line="360" w:lineRule="auto"/>
        <w:jc w:val="both"/>
      </w:pPr>
    </w:p>
    <w:p w14:paraId="3D82965C" w14:textId="77777777" w:rsidR="007A502A" w:rsidRDefault="007A502A" w:rsidP="00396241">
      <w:pPr>
        <w:spacing w:line="360" w:lineRule="auto"/>
        <w:ind w:firstLine="720"/>
        <w:jc w:val="both"/>
      </w:pPr>
    </w:p>
    <w:p w14:paraId="55CF2B86" w14:textId="77777777" w:rsidR="00A91E23" w:rsidRDefault="00A91E23" w:rsidP="00A91E23">
      <w:pPr>
        <w:spacing w:line="360" w:lineRule="auto"/>
        <w:ind w:firstLine="720"/>
      </w:pPr>
    </w:p>
    <w:p w14:paraId="07C5A74C" w14:textId="77777777" w:rsidR="00A91E23" w:rsidRDefault="00A91E23" w:rsidP="00A91E23">
      <w:pPr>
        <w:spacing w:line="360" w:lineRule="auto"/>
      </w:pPr>
    </w:p>
    <w:p w14:paraId="44AFCC80" w14:textId="77777777" w:rsidR="00A91E23" w:rsidRDefault="00A91E23" w:rsidP="00A91E23">
      <w:r>
        <w:br w:type="page"/>
      </w:r>
    </w:p>
    <w:p w14:paraId="274525B1" w14:textId="77777777" w:rsidR="00A91E23" w:rsidRDefault="00A91E23" w:rsidP="00A91E23">
      <w:pPr>
        <w:jc w:val="center"/>
        <w:rPr>
          <w:b/>
        </w:rPr>
      </w:pPr>
      <w:r>
        <w:rPr>
          <w:b/>
        </w:rPr>
        <w:lastRenderedPageBreak/>
        <w:t>References</w:t>
      </w:r>
    </w:p>
    <w:p w14:paraId="22C3ACF4" w14:textId="77777777" w:rsidR="00A91E23" w:rsidRPr="00C32818" w:rsidRDefault="00A91E23" w:rsidP="006A00B7">
      <w:pPr>
        <w:ind w:left="720" w:hanging="720"/>
        <w:jc w:val="both"/>
        <w:rPr>
          <w:b/>
        </w:rPr>
      </w:pPr>
    </w:p>
    <w:p w14:paraId="47CEC237" w14:textId="77777777" w:rsidR="00564A20" w:rsidRDefault="00564A20" w:rsidP="006A00B7">
      <w:pPr>
        <w:spacing w:line="360" w:lineRule="auto"/>
        <w:ind w:left="720" w:hanging="720"/>
        <w:jc w:val="both"/>
      </w:pPr>
      <w:r>
        <w:t xml:space="preserve">African Development </w:t>
      </w:r>
      <w:r w:rsidR="00CB0EE6">
        <w:t>Bank</w:t>
      </w:r>
      <w:r w:rsidR="00A07460">
        <w:t xml:space="preserve"> Group.</w:t>
      </w:r>
      <w:r w:rsidR="00CB0EE6">
        <w:t xml:space="preserve"> 2010. African Development </w:t>
      </w:r>
      <w:r>
        <w:t>R</w:t>
      </w:r>
      <w:r w:rsidR="00CB0EE6">
        <w:t xml:space="preserve">eport: Port, logistics, and trade in Africa. </w:t>
      </w:r>
      <w:r>
        <w:t>Oxford University Press.</w:t>
      </w:r>
    </w:p>
    <w:p w14:paraId="61FD8CF3" w14:textId="77777777" w:rsidR="00A91E23" w:rsidRPr="001A3ED4" w:rsidRDefault="00A91E23" w:rsidP="006A00B7">
      <w:pPr>
        <w:spacing w:line="360" w:lineRule="auto"/>
        <w:ind w:left="720" w:hanging="720"/>
        <w:jc w:val="both"/>
      </w:pPr>
      <w:r w:rsidRPr="00B02FE4">
        <w:t>Annual digest of port statistics</w:t>
      </w:r>
      <w:r w:rsidR="00B02FE4">
        <w:t>,1968-1979</w:t>
      </w:r>
      <w:r>
        <w:t xml:space="preserve">. </w:t>
      </w:r>
      <w:r w:rsidRPr="001A3ED4">
        <w:t>London: National Ports Council.</w:t>
      </w:r>
    </w:p>
    <w:p w14:paraId="57151F5E" w14:textId="77777777" w:rsidR="00A91E23" w:rsidRDefault="00A91E23" w:rsidP="006A00B7">
      <w:pPr>
        <w:spacing w:line="360" w:lineRule="auto"/>
        <w:ind w:left="720" w:hanging="720"/>
        <w:jc w:val="both"/>
      </w:pPr>
      <w:r>
        <w:t xml:space="preserve">Baier, Scott and Jeffrey Bergstrand, 2001. The growth of world trade: tariffs, transport costs, and income similarity. </w:t>
      </w:r>
      <w:r w:rsidRPr="004B5396">
        <w:rPr>
          <w:i/>
        </w:rPr>
        <w:t>Journal of International Economics</w:t>
      </w:r>
      <w:r>
        <w:t xml:space="preserve"> 53(1), 1-27.</w:t>
      </w:r>
    </w:p>
    <w:p w14:paraId="606131DD" w14:textId="77777777" w:rsidR="00A91E23" w:rsidRDefault="00A91E23" w:rsidP="006A00B7">
      <w:pPr>
        <w:spacing w:line="360" w:lineRule="auto"/>
        <w:ind w:left="720" w:hanging="720"/>
        <w:jc w:val="both"/>
      </w:pPr>
      <w:r>
        <w:t>Baier, Scott an</w:t>
      </w:r>
      <w:r w:rsidR="00B126EB">
        <w:t>d Jeffrey Bergstrand, 2007. Do free t</w:t>
      </w:r>
      <w:r>
        <w:t xml:space="preserve">rade </w:t>
      </w:r>
      <w:r w:rsidR="00B126EB">
        <w:t>agreements a</w:t>
      </w:r>
      <w:r>
        <w:t xml:space="preserve">ctually </w:t>
      </w:r>
      <w:r w:rsidR="00B126EB">
        <w:t>i</w:t>
      </w:r>
      <w:r>
        <w:t xml:space="preserve">ncrease </w:t>
      </w:r>
      <w:r w:rsidR="00B126EB">
        <w:t>members' international t</w:t>
      </w:r>
      <w:r>
        <w:t xml:space="preserve">rade? </w:t>
      </w:r>
      <w:r w:rsidRPr="001A3ED4">
        <w:rPr>
          <w:i/>
        </w:rPr>
        <w:t>Journal of International Economics</w:t>
      </w:r>
      <w:r>
        <w:t xml:space="preserve"> 71, 72-95.</w:t>
      </w:r>
    </w:p>
    <w:p w14:paraId="0BC2C787" w14:textId="77777777" w:rsidR="00B126EB" w:rsidRDefault="00863063" w:rsidP="00B126EB">
      <w:pPr>
        <w:spacing w:line="360" w:lineRule="auto"/>
        <w:ind w:left="720" w:hanging="720"/>
        <w:jc w:val="both"/>
      </w:pPr>
      <w:r>
        <w:t>Bergstrand, Jeffrey and Peter Egger, 2011.</w:t>
      </w:r>
      <w:r w:rsidR="00B126EB">
        <w:t xml:space="preserve"> Gravity equations and economic frictions in the world economy. In Palgrave Handbook of International Trade, edited by Daniel Bernhofen, Rod Falvey, David Greenaway and Udo Kreickemeier. Palg</w:t>
      </w:r>
      <w:r w:rsidR="00B02FE4">
        <w:t>rave MacMillan.</w:t>
      </w:r>
      <w:r>
        <w:t xml:space="preserve"> </w:t>
      </w:r>
    </w:p>
    <w:p w14:paraId="4A6D2A28" w14:textId="77777777" w:rsidR="00A91E23" w:rsidRDefault="00A91E23" w:rsidP="006A00B7">
      <w:pPr>
        <w:spacing w:line="360" w:lineRule="auto"/>
        <w:ind w:left="720" w:hanging="720"/>
        <w:jc w:val="both"/>
      </w:pPr>
      <w:r>
        <w:t xml:space="preserve">Blonigen, Bruce and Wesley Wilson, 2008. Port efficiency and trade flows. </w:t>
      </w:r>
      <w:r w:rsidRPr="00B67B32">
        <w:rPr>
          <w:i/>
        </w:rPr>
        <w:t>Review of International Economics</w:t>
      </w:r>
      <w:r>
        <w:t xml:space="preserve"> 16(1), 21-36.</w:t>
      </w:r>
    </w:p>
    <w:p w14:paraId="58F72F80" w14:textId="77777777" w:rsidR="00A91E23" w:rsidRDefault="00A91E23" w:rsidP="006A00B7">
      <w:pPr>
        <w:spacing w:line="360" w:lineRule="auto"/>
        <w:ind w:left="720" w:hanging="720"/>
        <w:jc w:val="both"/>
      </w:pPr>
      <w:r>
        <w:t>Clark, Ximena, Dollar Da</w:t>
      </w:r>
      <w:r w:rsidR="00B126EB">
        <w:t xml:space="preserve">vid and Alejandro Micco, 2004. </w:t>
      </w:r>
      <w:r>
        <w:t>Port efficiency, maritime tran</w:t>
      </w:r>
      <w:r w:rsidR="00B126EB">
        <w:t>sport costs and bilateral trade.</w:t>
      </w:r>
      <w:r>
        <w:t xml:space="preserve"> </w:t>
      </w:r>
      <w:r w:rsidRPr="00243836">
        <w:rPr>
          <w:i/>
        </w:rPr>
        <w:t>Journal of Development Economics</w:t>
      </w:r>
      <w:r>
        <w:t xml:space="preserve"> 75(2), 417-450.</w:t>
      </w:r>
    </w:p>
    <w:p w14:paraId="1DE61BB7" w14:textId="77777777" w:rsidR="00A91E23" w:rsidRDefault="00A91E23" w:rsidP="006A00B7">
      <w:pPr>
        <w:spacing w:line="360" w:lineRule="auto"/>
        <w:ind w:left="720" w:hanging="720"/>
        <w:jc w:val="both"/>
      </w:pPr>
      <w:r w:rsidRPr="00B02FE4">
        <w:t>Containerisation International</w:t>
      </w:r>
      <w:r w:rsidR="00B02FE4">
        <w:t>, 1970-1992</w:t>
      </w:r>
      <w:r w:rsidRPr="007E4901">
        <w:t xml:space="preserve">. </w:t>
      </w:r>
      <w:r>
        <w:t xml:space="preserve">Various issues. </w:t>
      </w:r>
      <w:r w:rsidRPr="007E4901">
        <w:t>London: National Magazine Co. Ltd.</w:t>
      </w:r>
    </w:p>
    <w:p w14:paraId="1FC209A2" w14:textId="77777777" w:rsidR="00A91E23" w:rsidRDefault="00A34F27" w:rsidP="006A00B7">
      <w:pPr>
        <w:spacing w:line="360" w:lineRule="auto"/>
        <w:ind w:left="720" w:hanging="720"/>
        <w:jc w:val="both"/>
      </w:pPr>
      <w:r>
        <w:t>D</w:t>
      </w:r>
      <w:r w:rsidR="00151961">
        <w:t>onaldson</w:t>
      </w:r>
      <w:r>
        <w:t>, D</w:t>
      </w:r>
      <w:r w:rsidR="00151961">
        <w:t>ave</w:t>
      </w:r>
      <w:r>
        <w:t>, 2012</w:t>
      </w:r>
      <w:r w:rsidR="00A91E23">
        <w:t xml:space="preserve">. Railroads </w:t>
      </w:r>
      <w:r w:rsidR="00151961">
        <w:t xml:space="preserve">of </w:t>
      </w:r>
      <w:r w:rsidR="00A91E23">
        <w:t>the Raj: Estimating the impact of transportation infrastructure. MIT mimeo.</w:t>
      </w:r>
    </w:p>
    <w:p w14:paraId="71F850A2" w14:textId="77777777" w:rsidR="00A91E23" w:rsidRDefault="00A91E23" w:rsidP="006A00B7">
      <w:pPr>
        <w:spacing w:line="360" w:lineRule="auto"/>
        <w:ind w:left="720" w:hanging="720"/>
        <w:jc w:val="both"/>
        <w:rPr>
          <w:rStyle w:val="apple-style-span"/>
          <w:iCs/>
        </w:rPr>
      </w:pPr>
      <w:r>
        <w:t>Donovan and J. Bonney,</w:t>
      </w:r>
      <w:r w:rsidR="003764B7">
        <w:t xml:space="preserve"> </w:t>
      </w:r>
      <w:r>
        <w:t xml:space="preserve"> 2006</w:t>
      </w:r>
      <w:r w:rsidRPr="007E4901">
        <w:t xml:space="preserve">. </w:t>
      </w:r>
      <w:r w:rsidRPr="00B02FE4">
        <w:rPr>
          <w:rStyle w:val="apple-style-span"/>
          <w:iCs/>
        </w:rPr>
        <w:t>The Box That Changed the World: Fifty Years of Container Shipping - An Illustrated History</w:t>
      </w:r>
      <w:r w:rsidRPr="007E4901">
        <w:rPr>
          <w:rStyle w:val="apple-style-span"/>
          <w:color w:val="000000"/>
        </w:rPr>
        <w:t>. Commonwealth Business Media Inc</w:t>
      </w:r>
      <w:r w:rsidRPr="007E4901">
        <w:rPr>
          <w:rStyle w:val="apple-style-span"/>
          <w:i/>
          <w:iCs/>
        </w:rPr>
        <w:t> .</w:t>
      </w:r>
    </w:p>
    <w:p w14:paraId="5E3A4D50" w14:textId="77777777" w:rsidR="00A91E23" w:rsidRPr="00C7320D" w:rsidRDefault="00A91E23" w:rsidP="006A00B7">
      <w:pPr>
        <w:spacing w:line="360" w:lineRule="auto"/>
        <w:ind w:left="720" w:hanging="720"/>
        <w:jc w:val="both"/>
        <w:rPr>
          <w:rStyle w:val="apple-style-span"/>
          <w:iCs/>
        </w:rPr>
      </w:pPr>
      <w:r>
        <w:rPr>
          <w:rStyle w:val="apple-style-span"/>
          <w:iCs/>
        </w:rPr>
        <w:t>Eyre, John, L. 1964. Shipping Containers in the Americas. In Pan American Union:  Recent Developments in the Use and Handling of Unitized Cargoes, Washington, D.C: 38-42.</w:t>
      </w:r>
    </w:p>
    <w:p w14:paraId="7DB4D6A4" w14:textId="77777777" w:rsidR="00A91E23" w:rsidRPr="00380EDE" w:rsidRDefault="00A91E23" w:rsidP="006A00B7">
      <w:pPr>
        <w:spacing w:line="360" w:lineRule="auto"/>
        <w:ind w:left="720" w:hanging="720"/>
        <w:jc w:val="both"/>
        <w:rPr>
          <w:rStyle w:val="apple-style-span"/>
          <w:iCs/>
        </w:rPr>
      </w:pPr>
      <w:r>
        <w:rPr>
          <w:rStyle w:val="apple-style-span"/>
          <w:iCs/>
        </w:rPr>
        <w:t>Feenstra, Robert,</w:t>
      </w:r>
      <w:bookmarkStart w:id="1" w:name="_ENREF_12"/>
      <w:r w:rsidRPr="006B13A6">
        <w:rPr>
          <w:noProof/>
        </w:rPr>
        <w:t xml:space="preserve"> </w:t>
      </w:r>
      <w:r w:rsidR="003764B7">
        <w:rPr>
          <w:noProof/>
        </w:rPr>
        <w:t>2004</w:t>
      </w:r>
      <w:r>
        <w:rPr>
          <w:noProof/>
        </w:rPr>
        <w:t xml:space="preserve">. </w:t>
      </w:r>
      <w:r w:rsidRPr="00B02FE4">
        <w:rPr>
          <w:noProof/>
        </w:rPr>
        <w:t>Advanced International Trade : Theory and Evidence</w:t>
      </w:r>
      <w:r>
        <w:rPr>
          <w:noProof/>
        </w:rPr>
        <w:t>. New Jersey, University Presses of California, Columbia and Princeton.</w:t>
      </w:r>
      <w:bookmarkEnd w:id="1"/>
    </w:p>
    <w:p w14:paraId="1D9B56F4" w14:textId="77777777" w:rsidR="00A91E23" w:rsidRPr="001B25C6" w:rsidRDefault="001521FE" w:rsidP="006A00B7">
      <w:pPr>
        <w:spacing w:line="360" w:lineRule="auto"/>
        <w:ind w:left="720" w:hanging="720"/>
        <w:jc w:val="both"/>
        <w:rPr>
          <w:rStyle w:val="apple-style-span"/>
          <w:i/>
          <w:iCs/>
        </w:rPr>
      </w:pPr>
      <w:hyperlink r:id="rId11" w:history="1">
        <w:r w:rsidR="00A91E23" w:rsidRPr="00A738AC">
          <w:rPr>
            <w:rStyle w:val="apple-style-span"/>
            <w:iCs/>
          </w:rPr>
          <w:t>Feenstra</w:t>
        </w:r>
      </w:hyperlink>
      <w:r w:rsidR="00A91E23" w:rsidRPr="00A738AC">
        <w:rPr>
          <w:rStyle w:val="apple-style-span"/>
          <w:iCs/>
        </w:rPr>
        <w:t xml:space="preserve">, Robert, </w:t>
      </w:r>
      <w:hyperlink r:id="rId12" w:history="1">
        <w:r w:rsidR="00A91E23" w:rsidRPr="00A738AC">
          <w:rPr>
            <w:rStyle w:val="apple-style-span"/>
            <w:iCs/>
          </w:rPr>
          <w:t>Robert E. Lipsey</w:t>
        </w:r>
      </w:hyperlink>
      <w:r w:rsidR="00A91E23" w:rsidRPr="00A738AC">
        <w:rPr>
          <w:rStyle w:val="apple-style-span"/>
          <w:iCs/>
        </w:rPr>
        <w:t>, </w:t>
      </w:r>
      <w:hyperlink r:id="rId13" w:history="1">
        <w:r w:rsidR="00A91E23" w:rsidRPr="00A738AC">
          <w:rPr>
            <w:rStyle w:val="apple-style-span"/>
            <w:iCs/>
          </w:rPr>
          <w:t>Haiyan Deng</w:t>
        </w:r>
      </w:hyperlink>
      <w:r w:rsidR="00A91E23" w:rsidRPr="00A738AC">
        <w:rPr>
          <w:rStyle w:val="apple-style-span"/>
          <w:iCs/>
        </w:rPr>
        <w:t>, Alyso</w:t>
      </w:r>
      <w:r w:rsidR="00A91E23" w:rsidRPr="001B25C6">
        <w:t>n C. Ma</w:t>
      </w:r>
      <w:r w:rsidR="00A91E23">
        <w:t xml:space="preserve"> and</w:t>
      </w:r>
      <w:r w:rsidR="0048028D">
        <w:t xml:space="preserve"> Hengyong Mo, 2005. World Trade Flows: 1962-2000.</w:t>
      </w:r>
      <w:r w:rsidR="00A91E23" w:rsidRPr="001B25C6">
        <w:t xml:space="preserve"> NBER Working Paper No. 11040</w:t>
      </w:r>
      <w:r w:rsidR="00A91E23">
        <w:t>.</w:t>
      </w:r>
    </w:p>
    <w:p w14:paraId="6B638E67" w14:textId="77777777" w:rsidR="00A91E23" w:rsidRDefault="00A91E23" w:rsidP="006A00B7">
      <w:pPr>
        <w:spacing w:line="360" w:lineRule="auto"/>
        <w:ind w:left="720" w:hanging="720"/>
        <w:jc w:val="both"/>
      </w:pPr>
      <w:r w:rsidRPr="00E53608">
        <w:t>Fogel, Robert, 1964</w:t>
      </w:r>
      <w:r>
        <w:t>.</w:t>
      </w:r>
      <w:r w:rsidR="003764B7">
        <w:t xml:space="preserve"> </w:t>
      </w:r>
      <w:r w:rsidRPr="00E9408F">
        <w:t>Railways and American Growth</w:t>
      </w:r>
      <w:r w:rsidRPr="00E53608">
        <w:t>, Johns Hopkins Press.</w:t>
      </w:r>
    </w:p>
    <w:p w14:paraId="655AF55C" w14:textId="77777777" w:rsidR="00927490" w:rsidRDefault="00927490" w:rsidP="006A00B7">
      <w:pPr>
        <w:spacing w:line="360" w:lineRule="auto"/>
        <w:ind w:left="720" w:hanging="720"/>
        <w:jc w:val="both"/>
      </w:pPr>
      <w:r>
        <w:t xml:space="preserve">Headrick, Daniel, 2009. </w:t>
      </w:r>
      <w:r w:rsidRPr="00E9408F">
        <w:t>Technology: A World History</w:t>
      </w:r>
      <w:r>
        <w:t>. Oxford University Press.</w:t>
      </w:r>
    </w:p>
    <w:p w14:paraId="6D83B2A5" w14:textId="77777777" w:rsidR="00A91E23" w:rsidRDefault="00A91E23" w:rsidP="006A00B7">
      <w:pPr>
        <w:spacing w:line="360" w:lineRule="auto"/>
        <w:ind w:left="720" w:hanging="720"/>
        <w:jc w:val="both"/>
      </w:pPr>
      <w:r w:rsidRPr="007E4901">
        <w:t>Hummels,  D</w:t>
      </w:r>
      <w:r>
        <w:t>avid</w:t>
      </w:r>
      <w:r w:rsidR="00927490">
        <w:t>,</w:t>
      </w:r>
      <w:r>
        <w:t xml:space="preserve"> 2007. Transportation costs and international trade in the second era of globalization, </w:t>
      </w:r>
      <w:r w:rsidRPr="00E03D8A">
        <w:rPr>
          <w:i/>
        </w:rPr>
        <w:t>Journal of Economic Perspectives</w:t>
      </w:r>
      <w:r>
        <w:t xml:space="preserve"> 21, 3:131-154.</w:t>
      </w:r>
    </w:p>
    <w:p w14:paraId="7069572E" w14:textId="77777777" w:rsidR="00A91E23" w:rsidRDefault="00A91E23" w:rsidP="006A00B7">
      <w:pPr>
        <w:spacing w:line="360" w:lineRule="auto"/>
        <w:ind w:left="720" w:hanging="720"/>
        <w:jc w:val="both"/>
      </w:pPr>
      <w:r>
        <w:t xml:space="preserve">Hurd, J., 1975. Railways and the expansion of markets in India, 1861-1921. </w:t>
      </w:r>
      <w:r w:rsidRPr="00810C27">
        <w:rPr>
          <w:i/>
        </w:rPr>
        <w:t>Explorations in Economic History</w:t>
      </w:r>
      <w:r>
        <w:t xml:space="preserve"> 12, 263-288.</w:t>
      </w:r>
    </w:p>
    <w:p w14:paraId="144267A4" w14:textId="77777777" w:rsidR="00E30BFA" w:rsidRDefault="00A91E23" w:rsidP="006A00B7">
      <w:pPr>
        <w:spacing w:line="360" w:lineRule="auto"/>
        <w:ind w:left="720" w:hanging="720"/>
        <w:jc w:val="both"/>
      </w:pPr>
      <w:r>
        <w:lastRenderedPageBreak/>
        <w:t xml:space="preserve">Krugman, Paul, 1995. </w:t>
      </w:r>
      <w:r w:rsidRPr="001A3ED4">
        <w:t xml:space="preserve">Growing </w:t>
      </w:r>
      <w:r w:rsidR="0048028D">
        <w:t>w</w:t>
      </w:r>
      <w:r w:rsidRPr="001A3ED4">
        <w:t xml:space="preserve">orld </w:t>
      </w:r>
      <w:r w:rsidR="0048028D">
        <w:t>t</w:t>
      </w:r>
      <w:r w:rsidRPr="001A3ED4">
        <w:t xml:space="preserve">rade: </w:t>
      </w:r>
      <w:r w:rsidR="0048028D">
        <w:t>c</w:t>
      </w:r>
      <w:r>
        <w:t xml:space="preserve">auses and </w:t>
      </w:r>
      <w:r w:rsidR="0048028D">
        <w:t>c</w:t>
      </w:r>
      <w:r>
        <w:t xml:space="preserve">onsequences. </w:t>
      </w:r>
      <w:r w:rsidRPr="001A3ED4">
        <w:rPr>
          <w:i/>
        </w:rPr>
        <w:t>Brookings Papers on Economic Activity</w:t>
      </w:r>
      <w:r>
        <w:rPr>
          <w:i/>
        </w:rPr>
        <w:t xml:space="preserve">, </w:t>
      </w:r>
      <w:r w:rsidRPr="001A3ED4">
        <w:t>1995(1):327-377.</w:t>
      </w:r>
    </w:p>
    <w:p w14:paraId="528EAFA8" w14:textId="77777777" w:rsidR="00575A94" w:rsidRDefault="00A83CC6" w:rsidP="003764B7">
      <w:pPr>
        <w:spacing w:line="360" w:lineRule="auto"/>
        <w:ind w:left="720" w:hangingChars="300" w:hanging="720"/>
      </w:pPr>
      <w:r>
        <w:t>Krugman, Paul, 2009.</w:t>
      </w:r>
      <w:r w:rsidR="00FE66B7">
        <w:t xml:space="preserve"> Citigroup Foundation Special Lecture, Festschrift paper in Honor of Alan V. Deardorff, University of Michigan IPC working paper 91. </w:t>
      </w:r>
    </w:p>
    <w:p w14:paraId="46F598E5" w14:textId="77777777" w:rsidR="00E30BFA" w:rsidRPr="001A3ED4" w:rsidRDefault="00E30BFA" w:rsidP="00FE66B7">
      <w:pPr>
        <w:spacing w:line="360" w:lineRule="auto"/>
        <w:ind w:left="720" w:hanging="720"/>
        <w:jc w:val="both"/>
      </w:pPr>
      <w:r>
        <w:t xml:space="preserve">Kuby Michael and Neil Reid, 1992. Technological change and the concentration of the U.S. general cargo port system: 1970-88. </w:t>
      </w:r>
      <w:r w:rsidRPr="0058660F">
        <w:rPr>
          <w:i/>
        </w:rPr>
        <w:t>Economic Geography</w:t>
      </w:r>
      <w:r w:rsidR="00FE66B7">
        <w:t xml:space="preserve"> 68, 272-289.</w:t>
      </w:r>
    </w:p>
    <w:p w14:paraId="56F7735D" w14:textId="77777777" w:rsidR="00A91E23" w:rsidRDefault="00A91E23" w:rsidP="006A00B7">
      <w:pPr>
        <w:spacing w:line="360" w:lineRule="auto"/>
        <w:ind w:left="720" w:hanging="720"/>
        <w:jc w:val="both"/>
      </w:pPr>
      <w:r>
        <w:t>Levinson, M</w:t>
      </w:r>
      <w:r w:rsidR="002E72D1">
        <w:t>arc</w:t>
      </w:r>
      <w:r>
        <w:t>. 2006</w:t>
      </w:r>
      <w:r w:rsidRPr="007E4901">
        <w:t xml:space="preserve">. </w:t>
      </w:r>
      <w:r w:rsidRPr="00E9408F">
        <w:t>The Box: How the Shipping Container Made the World Smaller and the World Economy Bigger</w:t>
      </w:r>
      <w:r w:rsidRPr="00E03D8A">
        <w:rPr>
          <w:i/>
        </w:rPr>
        <w:t>.</w:t>
      </w:r>
      <w:r w:rsidRPr="007E4901">
        <w:t xml:space="preserve"> Princeton University Press.</w:t>
      </w:r>
    </w:p>
    <w:p w14:paraId="6E119F62" w14:textId="77777777" w:rsidR="00A91E23" w:rsidRDefault="00A91E23" w:rsidP="006A00B7">
      <w:pPr>
        <w:spacing w:line="360" w:lineRule="auto"/>
        <w:ind w:left="720" w:hanging="720"/>
        <w:jc w:val="both"/>
      </w:pPr>
      <w:r>
        <w:t xml:space="preserve">McKinsey Co, 1967. </w:t>
      </w:r>
      <w:r w:rsidRPr="007E4901">
        <w:t>Containerization: the k</w:t>
      </w:r>
      <w:r w:rsidR="00B02FE4">
        <w:t xml:space="preserve">ey to low-cost transport. </w:t>
      </w:r>
      <w:r>
        <w:t>A r</w:t>
      </w:r>
      <w:r w:rsidRPr="007E4901">
        <w:t>epor</w:t>
      </w:r>
      <w:r>
        <w:t xml:space="preserve">t </w:t>
      </w:r>
      <w:r w:rsidRPr="007E4901">
        <w:t>for the British Transport Docks Board.</w:t>
      </w:r>
    </w:p>
    <w:p w14:paraId="351C6252" w14:textId="77777777" w:rsidR="00A91E23" w:rsidRDefault="00B02FE4" w:rsidP="006A00B7">
      <w:pPr>
        <w:spacing w:line="360" w:lineRule="auto"/>
        <w:ind w:left="720" w:hanging="720"/>
        <w:jc w:val="both"/>
      </w:pPr>
      <w:r>
        <w:t>McKinsey Co., 1972.</w:t>
      </w:r>
      <w:r w:rsidR="00A91E23">
        <w:t xml:space="preserve"> Containeri</w:t>
      </w:r>
      <w:r w:rsidR="00E30BFA">
        <w:t>zation: A 5-year balance sheet.</w:t>
      </w:r>
    </w:p>
    <w:p w14:paraId="1CF4B709" w14:textId="77777777" w:rsidR="00A91E23" w:rsidRDefault="00B02FE4" w:rsidP="006A00B7">
      <w:pPr>
        <w:spacing w:line="360" w:lineRule="auto"/>
        <w:ind w:left="720" w:hanging="720"/>
        <w:jc w:val="both"/>
      </w:pPr>
      <w:r>
        <w:t>Mokyrl, Joe, 1992.</w:t>
      </w:r>
      <w:r w:rsidR="00A91E23">
        <w:t xml:space="preserve"> </w:t>
      </w:r>
      <w:r w:rsidR="00A91E23" w:rsidRPr="00B02FE4">
        <w:t>The Lever of Riches: Technological Creativity and Economic Progress</w:t>
      </w:r>
      <w:r w:rsidR="00A91E23">
        <w:t>. Oxford University Press.</w:t>
      </w:r>
    </w:p>
    <w:p w14:paraId="731EA68A" w14:textId="77777777" w:rsidR="00A91E23" w:rsidRDefault="00B02FE4" w:rsidP="006A00B7">
      <w:pPr>
        <w:spacing w:line="360" w:lineRule="auto"/>
        <w:ind w:left="720" w:hanging="720"/>
        <w:jc w:val="both"/>
      </w:pPr>
      <w:r>
        <w:rPr>
          <w:rStyle w:val="apple-style-span"/>
          <w:rFonts w:eastAsia="Arial Unicode MS"/>
          <w:color w:val="000000"/>
        </w:rPr>
        <w:t>National Ports Council, 1968-1979</w:t>
      </w:r>
      <w:r w:rsidR="00A91E23" w:rsidRPr="007E4901">
        <w:rPr>
          <w:rStyle w:val="apple-style-span"/>
          <w:rFonts w:eastAsia="Arial Unicode MS"/>
          <w:color w:val="000000"/>
        </w:rPr>
        <w:t xml:space="preserve">. </w:t>
      </w:r>
      <w:r w:rsidR="00A91E23" w:rsidRPr="007E4901">
        <w:rPr>
          <w:rStyle w:val="apple-style-span"/>
          <w:i/>
          <w:iCs/>
        </w:rPr>
        <w:t>Annual digest of port statistics</w:t>
      </w:r>
      <w:r w:rsidR="00A91E23" w:rsidRPr="007E4901">
        <w:rPr>
          <w:rStyle w:val="apple-style-span"/>
          <w:rFonts w:eastAsia="Arial Unicode MS"/>
          <w:color w:val="000000"/>
        </w:rPr>
        <w:t>.</w:t>
      </w:r>
      <w:r w:rsidR="00A91E23" w:rsidRPr="007E4901">
        <w:t xml:space="preserve"> London: National Ports Council.</w:t>
      </w:r>
    </w:p>
    <w:p w14:paraId="79E7E6E7" w14:textId="77777777" w:rsidR="00A91E23" w:rsidRDefault="00A91E23" w:rsidP="006A00B7">
      <w:pPr>
        <w:spacing w:line="360" w:lineRule="auto"/>
        <w:ind w:left="720" w:hanging="720"/>
        <w:jc w:val="both"/>
      </w:pPr>
      <w:r>
        <w:t xml:space="preserve">Notteboom, Theo and Jean-Paul Rodrigue, </w:t>
      </w:r>
      <w:r w:rsidR="00B02FE4">
        <w:t xml:space="preserve"> </w:t>
      </w:r>
      <w:r>
        <w:t xml:space="preserve">2008. Containerisation, </w:t>
      </w:r>
      <w:r w:rsidR="00FE66B7">
        <w:t>b</w:t>
      </w:r>
      <w:r>
        <w:t xml:space="preserve">ox </w:t>
      </w:r>
      <w:r w:rsidR="00FE66B7">
        <w:t>l</w:t>
      </w:r>
      <w:r>
        <w:t xml:space="preserve">ogistics and </w:t>
      </w:r>
      <w:r w:rsidR="00FE66B7">
        <w:t>global supply chains: the integraton of ports and liner shipping n</w:t>
      </w:r>
      <w:r>
        <w:t xml:space="preserve">etworks. </w:t>
      </w:r>
      <w:r w:rsidRPr="003A665D">
        <w:rPr>
          <w:i/>
        </w:rPr>
        <w:t xml:space="preserve">Maritime Economics &amp; Logistics </w:t>
      </w:r>
      <w:r>
        <w:t>10, 152-174.</w:t>
      </w:r>
    </w:p>
    <w:p w14:paraId="509225FA" w14:textId="77777777" w:rsidR="00A91E23" w:rsidRDefault="003764B7" w:rsidP="006A00B7">
      <w:pPr>
        <w:spacing w:line="360" w:lineRule="auto"/>
        <w:ind w:left="720" w:hanging="720"/>
        <w:jc w:val="both"/>
      </w:pPr>
      <w:r>
        <w:t>Raine, George, 2006.</w:t>
      </w:r>
      <w:r w:rsidR="00A91E23">
        <w:t xml:space="preserve"> “A sea change in shipping: 50 years ago, container ships altered the world”, San Francisco Chronicle, February 5.</w:t>
      </w:r>
    </w:p>
    <w:p w14:paraId="11C7BD9E" w14:textId="77777777" w:rsidR="00A91E23" w:rsidRDefault="003764B7" w:rsidP="006A00B7">
      <w:pPr>
        <w:spacing w:line="360" w:lineRule="auto"/>
        <w:ind w:left="720" w:hanging="720"/>
        <w:jc w:val="both"/>
      </w:pPr>
      <w:r>
        <w:t>Rua, Gisela, 2012.</w:t>
      </w:r>
      <w:r w:rsidR="00A91E23">
        <w:t xml:space="preserve"> Fixed costs, network effects and the international diffusion of containerization, working paper. </w:t>
      </w:r>
    </w:p>
    <w:p w14:paraId="36C2090D" w14:textId="77777777" w:rsidR="00A91E23" w:rsidRDefault="00B02FE4" w:rsidP="006A00B7">
      <w:pPr>
        <w:spacing w:line="360" w:lineRule="auto"/>
        <w:ind w:left="720" w:hanging="720"/>
        <w:jc w:val="both"/>
      </w:pPr>
      <w:r>
        <w:t>Stopford, M. 2009</w:t>
      </w:r>
      <w:r w:rsidR="003764B7">
        <w:t xml:space="preserve">. </w:t>
      </w:r>
      <w:r w:rsidR="00A91E23" w:rsidRPr="003764B7">
        <w:t>Maritime Economics</w:t>
      </w:r>
      <w:r w:rsidR="00A91E23">
        <w:t xml:space="preserve"> , 3</w:t>
      </w:r>
      <w:r w:rsidR="00A91E23" w:rsidRPr="00851B36">
        <w:rPr>
          <w:vertAlign w:val="superscript"/>
        </w:rPr>
        <w:t>rd</w:t>
      </w:r>
      <w:r w:rsidR="00A91E23">
        <w:t xml:space="preserve"> edition, Routledge</w:t>
      </w:r>
      <w:r w:rsidR="001B5ED4">
        <w:t>.</w:t>
      </w:r>
    </w:p>
    <w:p w14:paraId="4CE20978" w14:textId="77777777" w:rsidR="00A91E23" w:rsidRDefault="00A91E23" w:rsidP="006A00B7">
      <w:pPr>
        <w:spacing w:line="360" w:lineRule="auto"/>
        <w:ind w:left="720" w:hanging="720"/>
        <w:jc w:val="both"/>
      </w:pPr>
      <w:r>
        <w:t xml:space="preserve">Wooldridge, Jeffrey, 2002. </w:t>
      </w:r>
      <w:r w:rsidRPr="003764B7">
        <w:t>Econometric Analysis of Cross-Section and Panel Data</w:t>
      </w:r>
      <w:r>
        <w:t>. MIT Press, Cambridge, MA.</w:t>
      </w:r>
    </w:p>
    <w:p w14:paraId="169220F4" w14:textId="77777777" w:rsidR="001B5ED4" w:rsidRDefault="001B5ED4" w:rsidP="006A00B7">
      <w:pPr>
        <w:spacing w:line="360" w:lineRule="auto"/>
        <w:ind w:left="720" w:hanging="720"/>
        <w:jc w:val="both"/>
      </w:pPr>
      <w:r>
        <w:t>World Bank Independent Evaluation Group. 2006. Assessing Word Bank support for trade, 1987-2004. Washington, D.C: The World Bank.</w:t>
      </w:r>
    </w:p>
    <w:p w14:paraId="7F06FABE" w14:textId="77777777" w:rsidR="00A91E23" w:rsidRDefault="003764B7" w:rsidP="006A00B7">
      <w:pPr>
        <w:spacing w:line="360" w:lineRule="auto"/>
        <w:ind w:left="720" w:hanging="720"/>
        <w:jc w:val="both"/>
      </w:pPr>
      <w:r>
        <w:t>Yi, Kei-Mu, 2003.</w:t>
      </w:r>
      <w:r w:rsidR="00A91E23">
        <w:t xml:space="preserve"> Can vertical specialization explain the growth in world trade?  </w:t>
      </w:r>
      <w:r w:rsidR="00A91E23" w:rsidRPr="003764B7">
        <w:rPr>
          <w:i/>
        </w:rPr>
        <w:t>Journal of Political Economy</w:t>
      </w:r>
      <w:r w:rsidR="00A91E23">
        <w:t xml:space="preserve"> 111(1), 52-102.</w:t>
      </w:r>
    </w:p>
    <w:p w14:paraId="49CE3D83" w14:textId="77777777" w:rsidR="00FD5777" w:rsidRPr="008607AC" w:rsidRDefault="00E6397A" w:rsidP="008607AC">
      <w:pPr>
        <w:spacing w:after="200" w:line="276" w:lineRule="auto"/>
      </w:pPr>
      <w:r>
        <w:br w:type="page"/>
      </w:r>
    </w:p>
    <w:p w14:paraId="081AB96A" w14:textId="77777777" w:rsidR="008607AC" w:rsidRDefault="008607AC" w:rsidP="008607AC">
      <w:pPr>
        <w:pStyle w:val="Caption"/>
        <w:keepNext/>
        <w:jc w:val="center"/>
        <w:rPr>
          <w:rFonts w:ascii="Times New Roman" w:hAnsi="Times New Roman"/>
          <w:color w:val="auto"/>
          <w:sz w:val="32"/>
          <w:szCs w:val="24"/>
        </w:rPr>
      </w:pPr>
      <w:r w:rsidRPr="008D41D7">
        <w:rPr>
          <w:rFonts w:ascii="Times New Roman" w:hAnsi="Times New Roman"/>
          <w:color w:val="auto"/>
          <w:sz w:val="32"/>
          <w:szCs w:val="24"/>
        </w:rPr>
        <w:lastRenderedPageBreak/>
        <w:t>Appendix</w:t>
      </w:r>
    </w:p>
    <w:p w14:paraId="0447BD6D" w14:textId="77777777" w:rsidR="008D41D7" w:rsidRPr="008D41D7" w:rsidRDefault="008D41D7" w:rsidP="008D41D7"/>
    <w:p w14:paraId="4F3AAEA0" w14:textId="77777777" w:rsidR="008607AC" w:rsidRPr="008607AC" w:rsidRDefault="00B7789D" w:rsidP="008D41D7">
      <w:pPr>
        <w:pStyle w:val="Caption"/>
        <w:keepNext/>
        <w:rPr>
          <w:rFonts w:ascii="Times New Roman" w:hAnsi="Times New Roman"/>
          <w:color w:val="auto"/>
          <w:sz w:val="24"/>
          <w:szCs w:val="24"/>
        </w:rPr>
      </w:pPr>
      <w:r>
        <w:rPr>
          <w:rFonts w:ascii="Times New Roman" w:hAnsi="Times New Roman"/>
          <w:color w:val="auto"/>
          <w:sz w:val="24"/>
          <w:szCs w:val="24"/>
        </w:rPr>
        <w:t xml:space="preserve">Appendix </w:t>
      </w:r>
      <w:r w:rsidR="008607AC" w:rsidRPr="008607AC">
        <w:rPr>
          <w:rFonts w:ascii="Times New Roman" w:hAnsi="Times New Roman"/>
          <w:color w:val="auto"/>
          <w:sz w:val="24"/>
          <w:szCs w:val="24"/>
        </w:rPr>
        <w:t xml:space="preserve">Table </w:t>
      </w:r>
      <w:r w:rsidR="00AF62C9" w:rsidRPr="008607AC">
        <w:rPr>
          <w:rFonts w:ascii="Times New Roman" w:hAnsi="Times New Roman"/>
          <w:color w:val="auto"/>
          <w:sz w:val="24"/>
          <w:szCs w:val="24"/>
        </w:rPr>
        <w:fldChar w:fldCharType="begin"/>
      </w:r>
      <w:r w:rsidR="008607AC" w:rsidRPr="008607AC">
        <w:rPr>
          <w:rFonts w:ascii="Times New Roman" w:hAnsi="Times New Roman"/>
          <w:color w:val="auto"/>
          <w:sz w:val="24"/>
          <w:szCs w:val="24"/>
        </w:rPr>
        <w:instrText xml:space="preserve"> SEQ Appendix_Table \* ARABIC </w:instrText>
      </w:r>
      <w:r w:rsidR="00AF62C9" w:rsidRPr="008607AC">
        <w:rPr>
          <w:rFonts w:ascii="Times New Roman" w:hAnsi="Times New Roman"/>
          <w:color w:val="auto"/>
          <w:sz w:val="24"/>
          <w:szCs w:val="24"/>
        </w:rPr>
        <w:fldChar w:fldCharType="separate"/>
      </w:r>
      <w:r w:rsidR="00E75E00">
        <w:rPr>
          <w:rFonts w:ascii="Times New Roman" w:hAnsi="Times New Roman"/>
          <w:noProof/>
          <w:color w:val="auto"/>
          <w:sz w:val="24"/>
          <w:szCs w:val="24"/>
        </w:rPr>
        <w:t>1</w:t>
      </w:r>
      <w:r w:rsidR="00AF62C9" w:rsidRPr="008607AC">
        <w:rPr>
          <w:rFonts w:ascii="Times New Roman" w:hAnsi="Times New Roman"/>
          <w:color w:val="auto"/>
          <w:sz w:val="24"/>
          <w:szCs w:val="24"/>
        </w:rPr>
        <w:fldChar w:fldCharType="end"/>
      </w:r>
      <w:r>
        <w:rPr>
          <w:rFonts w:ascii="Times New Roman" w:hAnsi="Times New Roman"/>
          <w:color w:val="auto"/>
          <w:sz w:val="24"/>
          <w:szCs w:val="24"/>
        </w:rPr>
        <w:t>: Variables and Data Sources</w:t>
      </w:r>
    </w:p>
    <w:p w14:paraId="194A1A87" w14:textId="77777777" w:rsidR="008607AC" w:rsidRPr="000B6408" w:rsidRDefault="008607AC" w:rsidP="008607AC">
      <w:pPr>
        <w:rPr>
          <w:b/>
        </w:rPr>
      </w:pPr>
      <w:r>
        <w:rPr>
          <w:b/>
        </w:rPr>
        <w:t>Variables</w:t>
      </w:r>
      <w:r>
        <w:rPr>
          <w:b/>
        </w:rPr>
        <w:tab/>
      </w:r>
      <w:r>
        <w:rPr>
          <w:b/>
        </w:rPr>
        <w:tab/>
      </w:r>
      <w:r>
        <w:rPr>
          <w:b/>
        </w:rPr>
        <w:tab/>
      </w:r>
      <w:r>
        <w:rPr>
          <w:b/>
        </w:rPr>
        <w:tab/>
      </w:r>
      <w:r>
        <w:rPr>
          <w:b/>
        </w:rPr>
        <w:tab/>
      </w:r>
      <w:r>
        <w:rPr>
          <w:b/>
        </w:rPr>
        <w:tab/>
        <w:t>Data Sources</w:t>
      </w:r>
    </w:p>
    <w:tbl>
      <w:tblPr>
        <w:tblStyle w:val="TableGrid"/>
        <w:tblW w:w="0" w:type="auto"/>
        <w:tblLook w:val="04A0" w:firstRow="1" w:lastRow="0" w:firstColumn="1" w:lastColumn="0" w:noHBand="0" w:noVBand="1"/>
      </w:tblPr>
      <w:tblGrid>
        <w:gridCol w:w="4453"/>
        <w:gridCol w:w="4453"/>
      </w:tblGrid>
      <w:tr w:rsidR="008607AC" w14:paraId="4FDEA23C" w14:textId="77777777" w:rsidTr="008607AC">
        <w:tc>
          <w:tcPr>
            <w:tcW w:w="4453" w:type="dxa"/>
          </w:tcPr>
          <w:p w14:paraId="4AE85DD2" w14:textId="77777777" w:rsidR="008607AC" w:rsidRDefault="008607AC" w:rsidP="008607AC">
            <w:r>
              <w:t>Trade Flows</w:t>
            </w:r>
          </w:p>
        </w:tc>
        <w:tc>
          <w:tcPr>
            <w:tcW w:w="4453" w:type="dxa"/>
          </w:tcPr>
          <w:p w14:paraId="4F6424A5" w14:textId="77777777" w:rsidR="008607AC" w:rsidRDefault="008607AC" w:rsidP="008607AC">
            <w:r w:rsidRPr="000B6408">
              <w:t>Feenstra et al. (2005)</w:t>
            </w:r>
          </w:p>
        </w:tc>
      </w:tr>
      <w:tr w:rsidR="008607AC" w14:paraId="0E639381" w14:textId="77777777" w:rsidTr="008607AC">
        <w:tc>
          <w:tcPr>
            <w:tcW w:w="4453" w:type="dxa"/>
          </w:tcPr>
          <w:p w14:paraId="2B02BEE6" w14:textId="77777777" w:rsidR="008607AC" w:rsidRDefault="008607AC" w:rsidP="008607AC">
            <w:r>
              <w:t>Container variables</w:t>
            </w:r>
          </w:p>
        </w:tc>
        <w:tc>
          <w:tcPr>
            <w:tcW w:w="4453" w:type="dxa"/>
          </w:tcPr>
          <w:p w14:paraId="23625500" w14:textId="77777777" w:rsidR="008607AC" w:rsidRDefault="008607AC" w:rsidP="006F4D00">
            <w:r>
              <w:t>Containerisation International Yearbook (several years)</w:t>
            </w:r>
          </w:p>
        </w:tc>
      </w:tr>
      <w:tr w:rsidR="008607AC" w14:paraId="57CC5F59" w14:textId="77777777" w:rsidTr="008607AC">
        <w:tc>
          <w:tcPr>
            <w:tcW w:w="4453" w:type="dxa"/>
          </w:tcPr>
          <w:p w14:paraId="1D1E7FAD" w14:textId="77777777" w:rsidR="008607AC" w:rsidRDefault="008607AC" w:rsidP="008607AC">
            <w:r>
              <w:t>Policy variables</w:t>
            </w:r>
          </w:p>
        </w:tc>
        <w:tc>
          <w:tcPr>
            <w:tcW w:w="4453" w:type="dxa"/>
          </w:tcPr>
          <w:p w14:paraId="3614D216" w14:textId="77777777" w:rsidR="008607AC" w:rsidRDefault="008607AC" w:rsidP="008607AC">
            <w:r>
              <w:t>CEPII</w:t>
            </w:r>
            <w:r w:rsidR="00A83CC6">
              <w:t>, Paris</w:t>
            </w:r>
          </w:p>
        </w:tc>
      </w:tr>
    </w:tbl>
    <w:p w14:paraId="5672AC80" w14:textId="77777777" w:rsidR="008607AC" w:rsidRDefault="008607AC" w:rsidP="008607AC">
      <w:pPr>
        <w:pStyle w:val="Caption"/>
        <w:keepNext/>
        <w:rPr>
          <w:rFonts w:ascii="Times New Roman" w:hAnsi="Times New Roman"/>
          <w:color w:val="auto"/>
          <w:sz w:val="24"/>
          <w:szCs w:val="24"/>
        </w:rPr>
      </w:pPr>
    </w:p>
    <w:p w14:paraId="08509C2C" w14:textId="77777777" w:rsidR="008607AC" w:rsidRDefault="008607AC" w:rsidP="008607AC">
      <w:pPr>
        <w:pStyle w:val="Caption"/>
        <w:keepNext/>
        <w:jc w:val="center"/>
        <w:rPr>
          <w:rFonts w:ascii="Times New Roman" w:hAnsi="Times New Roman"/>
          <w:color w:val="auto"/>
          <w:sz w:val="24"/>
          <w:szCs w:val="24"/>
        </w:rPr>
      </w:pPr>
    </w:p>
    <w:p w14:paraId="1783E628" w14:textId="77777777" w:rsidR="008607AC" w:rsidRDefault="00B7789D" w:rsidP="008D41D7">
      <w:pPr>
        <w:pStyle w:val="Caption"/>
        <w:keepNext/>
        <w:rPr>
          <w:rFonts w:ascii="Times New Roman" w:hAnsi="Times New Roman"/>
          <w:color w:val="auto"/>
          <w:sz w:val="24"/>
          <w:szCs w:val="24"/>
        </w:rPr>
      </w:pPr>
      <w:r>
        <w:rPr>
          <w:rFonts w:ascii="Times New Roman" w:hAnsi="Times New Roman"/>
          <w:color w:val="auto"/>
          <w:sz w:val="24"/>
          <w:szCs w:val="24"/>
        </w:rPr>
        <w:t xml:space="preserve">Appendix </w:t>
      </w:r>
      <w:r w:rsidR="008607AC" w:rsidRPr="008607AC">
        <w:rPr>
          <w:rFonts w:ascii="Times New Roman" w:hAnsi="Times New Roman"/>
          <w:color w:val="auto"/>
          <w:sz w:val="24"/>
          <w:szCs w:val="24"/>
        </w:rPr>
        <w:t>Table 2: Correlations between variables</w:t>
      </w:r>
    </w:p>
    <w:p w14:paraId="3A21396A" w14:textId="77777777" w:rsidR="006A00B7" w:rsidRDefault="006A00B7" w:rsidP="006A00B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3"/>
        <w:gridCol w:w="1993"/>
        <w:gridCol w:w="1993"/>
        <w:gridCol w:w="1993"/>
        <w:gridCol w:w="1993"/>
      </w:tblGrid>
      <w:tr w:rsidR="006A00B7" w14:paraId="395AAF17" w14:textId="77777777" w:rsidTr="006A00B7">
        <w:tc>
          <w:tcPr>
            <w:tcW w:w="1993" w:type="dxa"/>
            <w:tcBorders>
              <w:top w:val="double" w:sz="4" w:space="0" w:color="auto"/>
            </w:tcBorders>
            <w:vAlign w:val="center"/>
          </w:tcPr>
          <w:p w14:paraId="27A469C8" w14:textId="77777777" w:rsidR="006A00B7" w:rsidRDefault="006A00B7" w:rsidP="006A00B7">
            <w:pPr>
              <w:jc w:val="center"/>
            </w:pPr>
          </w:p>
        </w:tc>
        <w:tc>
          <w:tcPr>
            <w:tcW w:w="1993" w:type="dxa"/>
            <w:tcBorders>
              <w:top w:val="double" w:sz="4" w:space="0" w:color="auto"/>
            </w:tcBorders>
            <w:vAlign w:val="center"/>
          </w:tcPr>
          <w:p w14:paraId="697AE210" w14:textId="77777777" w:rsidR="006A00B7" w:rsidRDefault="006A00B7" w:rsidP="006A00B7">
            <w:pPr>
              <w:jc w:val="center"/>
            </w:pPr>
          </w:p>
        </w:tc>
        <w:tc>
          <w:tcPr>
            <w:tcW w:w="3986" w:type="dxa"/>
            <w:gridSpan w:val="2"/>
            <w:tcBorders>
              <w:top w:val="double" w:sz="4" w:space="0" w:color="auto"/>
            </w:tcBorders>
            <w:vAlign w:val="center"/>
          </w:tcPr>
          <w:p w14:paraId="2A3F79CC" w14:textId="77777777" w:rsidR="006A00B7" w:rsidRDefault="006A00B7" w:rsidP="006A00B7">
            <w:pPr>
              <w:jc w:val="center"/>
            </w:pPr>
            <w:r>
              <w:t>North-North</w:t>
            </w:r>
          </w:p>
        </w:tc>
        <w:tc>
          <w:tcPr>
            <w:tcW w:w="1993" w:type="dxa"/>
            <w:tcBorders>
              <w:top w:val="double" w:sz="4" w:space="0" w:color="auto"/>
            </w:tcBorders>
            <w:vAlign w:val="center"/>
          </w:tcPr>
          <w:p w14:paraId="603055DB" w14:textId="77777777" w:rsidR="006A00B7" w:rsidRDefault="006A00B7" w:rsidP="006A00B7">
            <w:pPr>
              <w:jc w:val="center"/>
            </w:pPr>
          </w:p>
        </w:tc>
      </w:tr>
      <w:tr w:rsidR="006A00B7" w14:paraId="2B4325B9" w14:textId="77777777" w:rsidTr="006A00B7">
        <w:tc>
          <w:tcPr>
            <w:tcW w:w="1993" w:type="dxa"/>
            <w:vAlign w:val="center"/>
          </w:tcPr>
          <w:p w14:paraId="66FBDAD9" w14:textId="77777777" w:rsidR="006A00B7" w:rsidRDefault="006A00B7" w:rsidP="006A00B7">
            <w:pPr>
              <w:jc w:val="center"/>
            </w:pPr>
          </w:p>
        </w:tc>
        <w:tc>
          <w:tcPr>
            <w:tcW w:w="1993" w:type="dxa"/>
            <w:vAlign w:val="center"/>
          </w:tcPr>
          <w:p w14:paraId="67079A56" w14:textId="77777777" w:rsidR="006A00B7" w:rsidRPr="006A00B7" w:rsidRDefault="006A00B7" w:rsidP="006A00B7">
            <w:pPr>
              <w:jc w:val="center"/>
              <w:rPr>
                <w:vertAlign w:val="subscript"/>
              </w:rPr>
            </w:pPr>
            <w:r>
              <w:t>portcont</w:t>
            </w:r>
            <w:r>
              <w:rPr>
                <w:vertAlign w:val="subscript"/>
              </w:rPr>
              <w:t>ij</w:t>
            </w:r>
          </w:p>
        </w:tc>
        <w:tc>
          <w:tcPr>
            <w:tcW w:w="1993" w:type="dxa"/>
            <w:vAlign w:val="center"/>
          </w:tcPr>
          <w:p w14:paraId="29B8B77A" w14:textId="77777777" w:rsidR="006A00B7" w:rsidRPr="006A00B7" w:rsidRDefault="006A00B7" w:rsidP="006A00B7">
            <w:pPr>
              <w:jc w:val="center"/>
              <w:rPr>
                <w:vertAlign w:val="subscript"/>
              </w:rPr>
            </w:pPr>
            <w:r>
              <w:t>fullcont</w:t>
            </w:r>
            <w:r>
              <w:rPr>
                <w:vertAlign w:val="subscript"/>
              </w:rPr>
              <w:t>ij</w:t>
            </w:r>
          </w:p>
        </w:tc>
        <w:tc>
          <w:tcPr>
            <w:tcW w:w="1993" w:type="dxa"/>
            <w:vAlign w:val="center"/>
          </w:tcPr>
          <w:p w14:paraId="2E637BD1" w14:textId="77777777" w:rsidR="006A00B7" w:rsidRDefault="006A00B7" w:rsidP="006A00B7">
            <w:pPr>
              <w:jc w:val="center"/>
            </w:pPr>
            <w:r>
              <w:t>fta</w:t>
            </w:r>
          </w:p>
        </w:tc>
        <w:tc>
          <w:tcPr>
            <w:tcW w:w="1993" w:type="dxa"/>
            <w:vAlign w:val="center"/>
          </w:tcPr>
          <w:p w14:paraId="3991D91E" w14:textId="77777777" w:rsidR="006A00B7" w:rsidRDefault="006A00B7" w:rsidP="006A00B7">
            <w:pPr>
              <w:jc w:val="center"/>
            </w:pPr>
            <w:r>
              <w:t>GATT</w:t>
            </w:r>
          </w:p>
        </w:tc>
      </w:tr>
      <w:tr w:rsidR="006A00B7" w14:paraId="6810BF2D" w14:textId="77777777" w:rsidTr="006A00B7">
        <w:tc>
          <w:tcPr>
            <w:tcW w:w="1993" w:type="dxa"/>
            <w:vAlign w:val="center"/>
          </w:tcPr>
          <w:p w14:paraId="4A0AEB2B" w14:textId="77777777" w:rsidR="006A00B7" w:rsidRPr="006A00B7" w:rsidRDefault="006A00B7" w:rsidP="006A00B7">
            <w:pPr>
              <w:jc w:val="center"/>
              <w:rPr>
                <w:vertAlign w:val="subscript"/>
              </w:rPr>
            </w:pPr>
            <w:r>
              <w:t>portcont</w:t>
            </w:r>
            <w:r>
              <w:rPr>
                <w:vertAlign w:val="subscript"/>
              </w:rPr>
              <w:t>ij</w:t>
            </w:r>
          </w:p>
        </w:tc>
        <w:tc>
          <w:tcPr>
            <w:tcW w:w="1993" w:type="dxa"/>
            <w:vAlign w:val="center"/>
          </w:tcPr>
          <w:p w14:paraId="1FECBCF8" w14:textId="77777777" w:rsidR="006A00B7" w:rsidRDefault="006A00B7" w:rsidP="006A00B7">
            <w:pPr>
              <w:jc w:val="center"/>
            </w:pPr>
            <w:r>
              <w:t>1</w:t>
            </w:r>
          </w:p>
        </w:tc>
        <w:tc>
          <w:tcPr>
            <w:tcW w:w="1993" w:type="dxa"/>
            <w:vAlign w:val="center"/>
          </w:tcPr>
          <w:p w14:paraId="581A4298" w14:textId="77777777" w:rsidR="006A00B7" w:rsidRDefault="006A00B7" w:rsidP="006A00B7">
            <w:pPr>
              <w:jc w:val="center"/>
            </w:pPr>
          </w:p>
        </w:tc>
        <w:tc>
          <w:tcPr>
            <w:tcW w:w="1993" w:type="dxa"/>
            <w:vAlign w:val="center"/>
          </w:tcPr>
          <w:p w14:paraId="0279AC85" w14:textId="77777777" w:rsidR="006A00B7" w:rsidRDefault="006A00B7" w:rsidP="006A00B7">
            <w:pPr>
              <w:jc w:val="center"/>
            </w:pPr>
          </w:p>
        </w:tc>
        <w:tc>
          <w:tcPr>
            <w:tcW w:w="1993" w:type="dxa"/>
            <w:vAlign w:val="center"/>
          </w:tcPr>
          <w:p w14:paraId="10DC21FE" w14:textId="77777777" w:rsidR="006A00B7" w:rsidRDefault="006A00B7" w:rsidP="006A00B7">
            <w:pPr>
              <w:jc w:val="center"/>
            </w:pPr>
          </w:p>
        </w:tc>
      </w:tr>
      <w:tr w:rsidR="006A00B7" w14:paraId="2C4D27D0" w14:textId="77777777" w:rsidTr="006A00B7">
        <w:tc>
          <w:tcPr>
            <w:tcW w:w="1993" w:type="dxa"/>
            <w:vAlign w:val="center"/>
          </w:tcPr>
          <w:p w14:paraId="65831124" w14:textId="77777777" w:rsidR="006A00B7" w:rsidRPr="006A00B7" w:rsidRDefault="006A00B7" w:rsidP="006A00B7">
            <w:pPr>
              <w:jc w:val="center"/>
              <w:rPr>
                <w:vertAlign w:val="subscript"/>
              </w:rPr>
            </w:pPr>
            <w:r>
              <w:t>fullcont</w:t>
            </w:r>
            <w:r>
              <w:rPr>
                <w:vertAlign w:val="subscript"/>
              </w:rPr>
              <w:t>ij</w:t>
            </w:r>
          </w:p>
        </w:tc>
        <w:tc>
          <w:tcPr>
            <w:tcW w:w="1993" w:type="dxa"/>
            <w:vAlign w:val="center"/>
          </w:tcPr>
          <w:p w14:paraId="70356C37" w14:textId="77777777" w:rsidR="006A00B7" w:rsidRDefault="006A00B7" w:rsidP="006A00B7">
            <w:pPr>
              <w:jc w:val="center"/>
            </w:pPr>
            <w:r>
              <w:t>0.716</w:t>
            </w:r>
          </w:p>
        </w:tc>
        <w:tc>
          <w:tcPr>
            <w:tcW w:w="1993" w:type="dxa"/>
            <w:vAlign w:val="center"/>
          </w:tcPr>
          <w:p w14:paraId="4C856786" w14:textId="77777777" w:rsidR="006A00B7" w:rsidRDefault="006A00B7" w:rsidP="006A00B7">
            <w:pPr>
              <w:jc w:val="center"/>
            </w:pPr>
            <w:r>
              <w:t>1</w:t>
            </w:r>
          </w:p>
        </w:tc>
        <w:tc>
          <w:tcPr>
            <w:tcW w:w="1993" w:type="dxa"/>
            <w:vAlign w:val="center"/>
          </w:tcPr>
          <w:p w14:paraId="34E16F19" w14:textId="77777777" w:rsidR="006A00B7" w:rsidRDefault="006A00B7" w:rsidP="006A00B7">
            <w:pPr>
              <w:jc w:val="center"/>
            </w:pPr>
          </w:p>
        </w:tc>
        <w:tc>
          <w:tcPr>
            <w:tcW w:w="1993" w:type="dxa"/>
            <w:vAlign w:val="center"/>
          </w:tcPr>
          <w:p w14:paraId="476FEFBE" w14:textId="77777777" w:rsidR="006A00B7" w:rsidRDefault="006A00B7" w:rsidP="006A00B7">
            <w:pPr>
              <w:jc w:val="center"/>
            </w:pPr>
          </w:p>
        </w:tc>
      </w:tr>
      <w:tr w:rsidR="006A00B7" w14:paraId="760BCED7" w14:textId="77777777" w:rsidTr="006A00B7">
        <w:tc>
          <w:tcPr>
            <w:tcW w:w="1993" w:type="dxa"/>
            <w:vAlign w:val="center"/>
          </w:tcPr>
          <w:p w14:paraId="26FD1D99" w14:textId="77777777" w:rsidR="006A00B7" w:rsidRDefault="006A00B7" w:rsidP="006A00B7">
            <w:pPr>
              <w:jc w:val="center"/>
            </w:pPr>
            <w:r>
              <w:t>fta</w:t>
            </w:r>
          </w:p>
        </w:tc>
        <w:tc>
          <w:tcPr>
            <w:tcW w:w="1993" w:type="dxa"/>
            <w:vAlign w:val="center"/>
          </w:tcPr>
          <w:p w14:paraId="5765318D" w14:textId="77777777" w:rsidR="006A00B7" w:rsidRDefault="006A00B7" w:rsidP="006A00B7">
            <w:pPr>
              <w:jc w:val="center"/>
            </w:pPr>
            <w:r>
              <w:t>0.106</w:t>
            </w:r>
          </w:p>
        </w:tc>
        <w:tc>
          <w:tcPr>
            <w:tcW w:w="1993" w:type="dxa"/>
            <w:vAlign w:val="center"/>
          </w:tcPr>
          <w:p w14:paraId="602AC630" w14:textId="77777777" w:rsidR="006A00B7" w:rsidRDefault="006A00B7" w:rsidP="006A00B7">
            <w:pPr>
              <w:jc w:val="center"/>
            </w:pPr>
            <w:r>
              <w:t>0.260</w:t>
            </w:r>
          </w:p>
        </w:tc>
        <w:tc>
          <w:tcPr>
            <w:tcW w:w="1993" w:type="dxa"/>
            <w:vAlign w:val="center"/>
          </w:tcPr>
          <w:p w14:paraId="640202B7" w14:textId="77777777" w:rsidR="006A00B7" w:rsidRDefault="006A00B7" w:rsidP="006A00B7">
            <w:pPr>
              <w:jc w:val="center"/>
            </w:pPr>
            <w:r>
              <w:t>1</w:t>
            </w:r>
          </w:p>
        </w:tc>
        <w:tc>
          <w:tcPr>
            <w:tcW w:w="1993" w:type="dxa"/>
            <w:vAlign w:val="center"/>
          </w:tcPr>
          <w:p w14:paraId="3C2F1A2C" w14:textId="77777777" w:rsidR="006A00B7" w:rsidRDefault="006A00B7" w:rsidP="006A00B7">
            <w:pPr>
              <w:jc w:val="center"/>
            </w:pPr>
          </w:p>
        </w:tc>
      </w:tr>
      <w:tr w:rsidR="006A00B7" w14:paraId="4B491B36" w14:textId="77777777" w:rsidTr="006A00B7">
        <w:tc>
          <w:tcPr>
            <w:tcW w:w="1993" w:type="dxa"/>
            <w:tcBorders>
              <w:bottom w:val="single" w:sz="4" w:space="0" w:color="auto"/>
            </w:tcBorders>
            <w:vAlign w:val="center"/>
          </w:tcPr>
          <w:p w14:paraId="3E0B0B89" w14:textId="77777777" w:rsidR="006A00B7" w:rsidRDefault="006A00B7" w:rsidP="006A00B7">
            <w:pPr>
              <w:jc w:val="center"/>
            </w:pPr>
            <w:r>
              <w:t>GATT</w:t>
            </w:r>
          </w:p>
        </w:tc>
        <w:tc>
          <w:tcPr>
            <w:tcW w:w="1993" w:type="dxa"/>
            <w:tcBorders>
              <w:bottom w:val="single" w:sz="4" w:space="0" w:color="auto"/>
            </w:tcBorders>
            <w:vAlign w:val="center"/>
          </w:tcPr>
          <w:p w14:paraId="48C6634E" w14:textId="77777777" w:rsidR="006A00B7" w:rsidRDefault="006A00B7" w:rsidP="006A00B7">
            <w:pPr>
              <w:jc w:val="center"/>
            </w:pPr>
            <w:r>
              <w:t>0.237</w:t>
            </w:r>
          </w:p>
        </w:tc>
        <w:tc>
          <w:tcPr>
            <w:tcW w:w="1993" w:type="dxa"/>
            <w:tcBorders>
              <w:bottom w:val="single" w:sz="4" w:space="0" w:color="auto"/>
            </w:tcBorders>
            <w:vAlign w:val="center"/>
          </w:tcPr>
          <w:p w14:paraId="7DDC8DAF" w14:textId="77777777" w:rsidR="006A00B7" w:rsidRDefault="006A00B7" w:rsidP="006A00B7">
            <w:pPr>
              <w:jc w:val="center"/>
            </w:pPr>
            <w:r>
              <w:t>0.331</w:t>
            </w:r>
          </w:p>
        </w:tc>
        <w:tc>
          <w:tcPr>
            <w:tcW w:w="1993" w:type="dxa"/>
            <w:tcBorders>
              <w:bottom w:val="single" w:sz="4" w:space="0" w:color="auto"/>
            </w:tcBorders>
            <w:vAlign w:val="center"/>
          </w:tcPr>
          <w:p w14:paraId="1134776D" w14:textId="77777777" w:rsidR="006A00B7" w:rsidRDefault="006A00B7" w:rsidP="006A00B7">
            <w:pPr>
              <w:jc w:val="center"/>
            </w:pPr>
            <w:r>
              <w:t>0.119</w:t>
            </w:r>
          </w:p>
        </w:tc>
        <w:tc>
          <w:tcPr>
            <w:tcW w:w="1993" w:type="dxa"/>
            <w:tcBorders>
              <w:bottom w:val="single" w:sz="4" w:space="0" w:color="auto"/>
            </w:tcBorders>
            <w:vAlign w:val="center"/>
          </w:tcPr>
          <w:p w14:paraId="24D64606" w14:textId="77777777" w:rsidR="006A00B7" w:rsidRDefault="006A00B7" w:rsidP="006A00B7">
            <w:pPr>
              <w:jc w:val="center"/>
            </w:pPr>
            <w:r>
              <w:t>1</w:t>
            </w:r>
          </w:p>
        </w:tc>
      </w:tr>
      <w:tr w:rsidR="006A00B7" w14:paraId="5E09A21E" w14:textId="77777777" w:rsidTr="006A00B7">
        <w:tc>
          <w:tcPr>
            <w:tcW w:w="1993" w:type="dxa"/>
            <w:tcBorders>
              <w:top w:val="single" w:sz="4" w:space="0" w:color="auto"/>
            </w:tcBorders>
            <w:vAlign w:val="center"/>
          </w:tcPr>
          <w:p w14:paraId="4EA5C7F3" w14:textId="77777777" w:rsidR="006A00B7" w:rsidRDefault="006A00B7" w:rsidP="006A00B7">
            <w:pPr>
              <w:jc w:val="center"/>
            </w:pPr>
          </w:p>
        </w:tc>
        <w:tc>
          <w:tcPr>
            <w:tcW w:w="1993" w:type="dxa"/>
            <w:tcBorders>
              <w:top w:val="single" w:sz="4" w:space="0" w:color="auto"/>
            </w:tcBorders>
            <w:vAlign w:val="center"/>
          </w:tcPr>
          <w:p w14:paraId="48F48D3E" w14:textId="77777777" w:rsidR="006A00B7" w:rsidRDefault="006A00B7" w:rsidP="006A00B7">
            <w:pPr>
              <w:jc w:val="center"/>
            </w:pPr>
          </w:p>
        </w:tc>
        <w:tc>
          <w:tcPr>
            <w:tcW w:w="3986" w:type="dxa"/>
            <w:gridSpan w:val="2"/>
            <w:tcBorders>
              <w:top w:val="single" w:sz="4" w:space="0" w:color="auto"/>
            </w:tcBorders>
            <w:vAlign w:val="center"/>
          </w:tcPr>
          <w:p w14:paraId="68DB66CD" w14:textId="77777777" w:rsidR="006A00B7" w:rsidRDefault="006A00B7" w:rsidP="006A00B7">
            <w:pPr>
              <w:jc w:val="center"/>
            </w:pPr>
            <w:r>
              <w:t>Entire Sample</w:t>
            </w:r>
          </w:p>
        </w:tc>
        <w:tc>
          <w:tcPr>
            <w:tcW w:w="1993" w:type="dxa"/>
            <w:tcBorders>
              <w:top w:val="single" w:sz="4" w:space="0" w:color="auto"/>
            </w:tcBorders>
            <w:vAlign w:val="center"/>
          </w:tcPr>
          <w:p w14:paraId="4403BA29" w14:textId="77777777" w:rsidR="006A00B7" w:rsidRDefault="006A00B7" w:rsidP="006A00B7">
            <w:pPr>
              <w:jc w:val="center"/>
            </w:pPr>
          </w:p>
        </w:tc>
      </w:tr>
      <w:tr w:rsidR="006A00B7" w14:paraId="2CD50E71" w14:textId="77777777" w:rsidTr="006A00B7">
        <w:tc>
          <w:tcPr>
            <w:tcW w:w="1993" w:type="dxa"/>
            <w:vAlign w:val="center"/>
          </w:tcPr>
          <w:p w14:paraId="329D2FF7" w14:textId="77777777" w:rsidR="006A00B7" w:rsidRDefault="006A00B7" w:rsidP="006A00B7">
            <w:pPr>
              <w:jc w:val="center"/>
            </w:pPr>
          </w:p>
        </w:tc>
        <w:tc>
          <w:tcPr>
            <w:tcW w:w="1993" w:type="dxa"/>
            <w:vAlign w:val="center"/>
          </w:tcPr>
          <w:p w14:paraId="5345F31E" w14:textId="77777777" w:rsidR="006A00B7" w:rsidRPr="006A00B7" w:rsidRDefault="006A00B7" w:rsidP="006A00B7">
            <w:pPr>
              <w:jc w:val="center"/>
              <w:rPr>
                <w:vertAlign w:val="subscript"/>
              </w:rPr>
            </w:pPr>
            <w:r>
              <w:t>portcont</w:t>
            </w:r>
            <w:r>
              <w:rPr>
                <w:vertAlign w:val="subscript"/>
              </w:rPr>
              <w:t>ij</w:t>
            </w:r>
          </w:p>
        </w:tc>
        <w:tc>
          <w:tcPr>
            <w:tcW w:w="1993" w:type="dxa"/>
            <w:vAlign w:val="center"/>
          </w:tcPr>
          <w:p w14:paraId="3D8C9E50" w14:textId="77777777" w:rsidR="006A00B7" w:rsidRPr="006A00B7" w:rsidRDefault="006A00B7" w:rsidP="006A00B7">
            <w:pPr>
              <w:jc w:val="center"/>
              <w:rPr>
                <w:vertAlign w:val="subscript"/>
              </w:rPr>
            </w:pPr>
            <w:r>
              <w:t>fullcont</w:t>
            </w:r>
            <w:r>
              <w:rPr>
                <w:vertAlign w:val="subscript"/>
              </w:rPr>
              <w:t>ij</w:t>
            </w:r>
          </w:p>
        </w:tc>
        <w:tc>
          <w:tcPr>
            <w:tcW w:w="1993" w:type="dxa"/>
            <w:vAlign w:val="center"/>
          </w:tcPr>
          <w:p w14:paraId="56A249CA" w14:textId="77777777" w:rsidR="006A00B7" w:rsidRDefault="006A00B7" w:rsidP="006A00B7">
            <w:pPr>
              <w:jc w:val="center"/>
            </w:pPr>
            <w:r>
              <w:t>fta</w:t>
            </w:r>
          </w:p>
        </w:tc>
        <w:tc>
          <w:tcPr>
            <w:tcW w:w="1993" w:type="dxa"/>
            <w:vAlign w:val="center"/>
          </w:tcPr>
          <w:p w14:paraId="2AF5A559" w14:textId="77777777" w:rsidR="006A00B7" w:rsidRDefault="006A00B7" w:rsidP="006A00B7">
            <w:pPr>
              <w:jc w:val="center"/>
            </w:pPr>
            <w:r>
              <w:t>GATT</w:t>
            </w:r>
          </w:p>
        </w:tc>
      </w:tr>
      <w:tr w:rsidR="006A00B7" w14:paraId="512F5EED" w14:textId="77777777" w:rsidTr="006A00B7">
        <w:tc>
          <w:tcPr>
            <w:tcW w:w="1993" w:type="dxa"/>
            <w:vAlign w:val="center"/>
          </w:tcPr>
          <w:p w14:paraId="0497C6FE" w14:textId="77777777" w:rsidR="006A00B7" w:rsidRPr="006A00B7" w:rsidRDefault="006A00B7" w:rsidP="006A00B7">
            <w:pPr>
              <w:jc w:val="center"/>
              <w:rPr>
                <w:vertAlign w:val="subscript"/>
              </w:rPr>
            </w:pPr>
            <w:r>
              <w:t>portcont</w:t>
            </w:r>
            <w:r>
              <w:rPr>
                <w:vertAlign w:val="subscript"/>
              </w:rPr>
              <w:t>ij</w:t>
            </w:r>
          </w:p>
        </w:tc>
        <w:tc>
          <w:tcPr>
            <w:tcW w:w="1993" w:type="dxa"/>
            <w:vAlign w:val="center"/>
          </w:tcPr>
          <w:p w14:paraId="4DB9ABC1" w14:textId="77777777" w:rsidR="006A00B7" w:rsidRDefault="006A00B7" w:rsidP="006A00B7">
            <w:pPr>
              <w:jc w:val="center"/>
            </w:pPr>
            <w:r>
              <w:t>1</w:t>
            </w:r>
          </w:p>
        </w:tc>
        <w:tc>
          <w:tcPr>
            <w:tcW w:w="1993" w:type="dxa"/>
            <w:vAlign w:val="center"/>
          </w:tcPr>
          <w:p w14:paraId="66FEEEC4" w14:textId="77777777" w:rsidR="006A00B7" w:rsidRDefault="006A00B7" w:rsidP="006A00B7">
            <w:pPr>
              <w:jc w:val="center"/>
            </w:pPr>
          </w:p>
        </w:tc>
        <w:tc>
          <w:tcPr>
            <w:tcW w:w="1993" w:type="dxa"/>
            <w:vAlign w:val="center"/>
          </w:tcPr>
          <w:p w14:paraId="5D1AC55F" w14:textId="77777777" w:rsidR="006A00B7" w:rsidRDefault="006A00B7" w:rsidP="006A00B7">
            <w:pPr>
              <w:jc w:val="center"/>
            </w:pPr>
          </w:p>
        </w:tc>
        <w:tc>
          <w:tcPr>
            <w:tcW w:w="1993" w:type="dxa"/>
            <w:vAlign w:val="center"/>
          </w:tcPr>
          <w:p w14:paraId="6712A420" w14:textId="77777777" w:rsidR="006A00B7" w:rsidRDefault="006A00B7" w:rsidP="006A00B7">
            <w:pPr>
              <w:jc w:val="center"/>
            </w:pPr>
          </w:p>
        </w:tc>
      </w:tr>
      <w:tr w:rsidR="006A00B7" w14:paraId="0B7AA240" w14:textId="77777777" w:rsidTr="006A00B7">
        <w:tc>
          <w:tcPr>
            <w:tcW w:w="1993" w:type="dxa"/>
            <w:vAlign w:val="center"/>
          </w:tcPr>
          <w:p w14:paraId="21599B3E" w14:textId="77777777" w:rsidR="006A00B7" w:rsidRPr="006A00B7" w:rsidRDefault="006A00B7" w:rsidP="006A00B7">
            <w:pPr>
              <w:jc w:val="center"/>
              <w:rPr>
                <w:vertAlign w:val="subscript"/>
              </w:rPr>
            </w:pPr>
            <w:r>
              <w:t>fullcont</w:t>
            </w:r>
            <w:r>
              <w:rPr>
                <w:vertAlign w:val="subscript"/>
              </w:rPr>
              <w:t>ij</w:t>
            </w:r>
          </w:p>
        </w:tc>
        <w:tc>
          <w:tcPr>
            <w:tcW w:w="1993" w:type="dxa"/>
            <w:vAlign w:val="center"/>
          </w:tcPr>
          <w:p w14:paraId="05A557A5" w14:textId="77777777" w:rsidR="006A00B7" w:rsidRDefault="006A00B7" w:rsidP="006A00B7">
            <w:pPr>
              <w:jc w:val="center"/>
            </w:pPr>
            <w:r>
              <w:t>0.853</w:t>
            </w:r>
          </w:p>
        </w:tc>
        <w:tc>
          <w:tcPr>
            <w:tcW w:w="1993" w:type="dxa"/>
            <w:vAlign w:val="center"/>
          </w:tcPr>
          <w:p w14:paraId="331FF84F" w14:textId="77777777" w:rsidR="006A00B7" w:rsidRDefault="006A00B7" w:rsidP="006A00B7">
            <w:pPr>
              <w:jc w:val="center"/>
            </w:pPr>
            <w:r>
              <w:t>1</w:t>
            </w:r>
          </w:p>
        </w:tc>
        <w:tc>
          <w:tcPr>
            <w:tcW w:w="1993" w:type="dxa"/>
            <w:vAlign w:val="center"/>
          </w:tcPr>
          <w:p w14:paraId="6C85BE58" w14:textId="77777777" w:rsidR="006A00B7" w:rsidRDefault="006A00B7" w:rsidP="006A00B7">
            <w:pPr>
              <w:jc w:val="center"/>
            </w:pPr>
          </w:p>
        </w:tc>
        <w:tc>
          <w:tcPr>
            <w:tcW w:w="1993" w:type="dxa"/>
            <w:vAlign w:val="center"/>
          </w:tcPr>
          <w:p w14:paraId="61E43964" w14:textId="77777777" w:rsidR="006A00B7" w:rsidRDefault="006A00B7" w:rsidP="006A00B7">
            <w:pPr>
              <w:jc w:val="center"/>
            </w:pPr>
          </w:p>
        </w:tc>
      </w:tr>
      <w:tr w:rsidR="006A00B7" w14:paraId="05780F39" w14:textId="77777777" w:rsidTr="006A00B7">
        <w:tc>
          <w:tcPr>
            <w:tcW w:w="1993" w:type="dxa"/>
            <w:vAlign w:val="center"/>
          </w:tcPr>
          <w:p w14:paraId="7AAF1A75" w14:textId="77777777" w:rsidR="006A00B7" w:rsidRDefault="006A00B7" w:rsidP="006A00B7">
            <w:pPr>
              <w:jc w:val="center"/>
            </w:pPr>
            <w:r>
              <w:t>fta</w:t>
            </w:r>
          </w:p>
        </w:tc>
        <w:tc>
          <w:tcPr>
            <w:tcW w:w="1993" w:type="dxa"/>
            <w:vAlign w:val="center"/>
          </w:tcPr>
          <w:p w14:paraId="2A96F6F6" w14:textId="77777777" w:rsidR="006A00B7" w:rsidRDefault="006A00B7" w:rsidP="006A00B7">
            <w:pPr>
              <w:jc w:val="center"/>
            </w:pPr>
            <w:r>
              <w:t>0.129</w:t>
            </w:r>
          </w:p>
        </w:tc>
        <w:tc>
          <w:tcPr>
            <w:tcW w:w="1993" w:type="dxa"/>
            <w:vAlign w:val="center"/>
          </w:tcPr>
          <w:p w14:paraId="7C8D09F7" w14:textId="77777777" w:rsidR="006A00B7" w:rsidRDefault="006A00B7" w:rsidP="006A00B7">
            <w:pPr>
              <w:jc w:val="center"/>
            </w:pPr>
            <w:r>
              <w:t>0.199</w:t>
            </w:r>
          </w:p>
        </w:tc>
        <w:tc>
          <w:tcPr>
            <w:tcW w:w="1993" w:type="dxa"/>
            <w:vAlign w:val="center"/>
          </w:tcPr>
          <w:p w14:paraId="49C43753" w14:textId="77777777" w:rsidR="006A00B7" w:rsidRDefault="006A00B7" w:rsidP="006A00B7">
            <w:pPr>
              <w:jc w:val="center"/>
            </w:pPr>
            <w:r>
              <w:t>1</w:t>
            </w:r>
          </w:p>
        </w:tc>
        <w:tc>
          <w:tcPr>
            <w:tcW w:w="1993" w:type="dxa"/>
            <w:vAlign w:val="center"/>
          </w:tcPr>
          <w:p w14:paraId="078B48E4" w14:textId="77777777" w:rsidR="006A00B7" w:rsidRDefault="006A00B7" w:rsidP="006A00B7">
            <w:pPr>
              <w:jc w:val="center"/>
            </w:pPr>
          </w:p>
        </w:tc>
      </w:tr>
      <w:tr w:rsidR="006A00B7" w14:paraId="5ED6583E" w14:textId="77777777" w:rsidTr="006A00B7">
        <w:tc>
          <w:tcPr>
            <w:tcW w:w="1993" w:type="dxa"/>
            <w:tcBorders>
              <w:bottom w:val="double" w:sz="4" w:space="0" w:color="auto"/>
            </w:tcBorders>
            <w:vAlign w:val="center"/>
          </w:tcPr>
          <w:p w14:paraId="69ECC09E" w14:textId="77777777" w:rsidR="006A00B7" w:rsidRDefault="006A00B7" w:rsidP="006A00B7">
            <w:pPr>
              <w:jc w:val="center"/>
            </w:pPr>
            <w:r>
              <w:t>GATT</w:t>
            </w:r>
          </w:p>
        </w:tc>
        <w:tc>
          <w:tcPr>
            <w:tcW w:w="1993" w:type="dxa"/>
            <w:tcBorders>
              <w:bottom w:val="double" w:sz="4" w:space="0" w:color="auto"/>
            </w:tcBorders>
            <w:vAlign w:val="center"/>
          </w:tcPr>
          <w:p w14:paraId="3AA64F1B" w14:textId="77777777" w:rsidR="006A00B7" w:rsidRDefault="006A00B7" w:rsidP="006A00B7">
            <w:pPr>
              <w:jc w:val="center"/>
            </w:pPr>
            <w:r>
              <w:t>0.199</w:t>
            </w:r>
          </w:p>
        </w:tc>
        <w:tc>
          <w:tcPr>
            <w:tcW w:w="1993" w:type="dxa"/>
            <w:tcBorders>
              <w:bottom w:val="double" w:sz="4" w:space="0" w:color="auto"/>
            </w:tcBorders>
            <w:vAlign w:val="center"/>
          </w:tcPr>
          <w:p w14:paraId="19359341" w14:textId="77777777" w:rsidR="006A00B7" w:rsidRDefault="006A00B7" w:rsidP="006A00B7">
            <w:pPr>
              <w:jc w:val="center"/>
            </w:pPr>
            <w:r>
              <w:t>0.278</w:t>
            </w:r>
          </w:p>
        </w:tc>
        <w:tc>
          <w:tcPr>
            <w:tcW w:w="1993" w:type="dxa"/>
            <w:tcBorders>
              <w:bottom w:val="double" w:sz="4" w:space="0" w:color="auto"/>
            </w:tcBorders>
            <w:vAlign w:val="center"/>
          </w:tcPr>
          <w:p w14:paraId="375EF34A" w14:textId="77777777" w:rsidR="006A00B7" w:rsidRDefault="006A00B7" w:rsidP="006A00B7">
            <w:pPr>
              <w:jc w:val="center"/>
            </w:pPr>
            <w:r>
              <w:t>0.229</w:t>
            </w:r>
          </w:p>
        </w:tc>
        <w:tc>
          <w:tcPr>
            <w:tcW w:w="1993" w:type="dxa"/>
            <w:tcBorders>
              <w:bottom w:val="double" w:sz="4" w:space="0" w:color="auto"/>
            </w:tcBorders>
            <w:vAlign w:val="center"/>
          </w:tcPr>
          <w:p w14:paraId="50A82D15" w14:textId="77777777" w:rsidR="006A00B7" w:rsidRDefault="006A00B7" w:rsidP="006A00B7">
            <w:pPr>
              <w:jc w:val="center"/>
            </w:pPr>
            <w:r>
              <w:t>1</w:t>
            </w:r>
          </w:p>
        </w:tc>
      </w:tr>
    </w:tbl>
    <w:p w14:paraId="600425A7" w14:textId="77777777" w:rsidR="006A00B7" w:rsidRDefault="006A00B7" w:rsidP="006A00B7"/>
    <w:p w14:paraId="1A255D6C" w14:textId="77777777" w:rsidR="006A00B7" w:rsidRDefault="006A00B7" w:rsidP="006A00B7"/>
    <w:p w14:paraId="267DC556" w14:textId="77777777" w:rsidR="006A00B7" w:rsidRDefault="006A00B7" w:rsidP="006A00B7"/>
    <w:p w14:paraId="42084A8F" w14:textId="77777777" w:rsidR="006A00B7" w:rsidRDefault="006A00B7" w:rsidP="006A00B7"/>
    <w:p w14:paraId="53213361" w14:textId="77777777" w:rsidR="006A00B7" w:rsidRPr="006A00B7" w:rsidRDefault="006A00B7" w:rsidP="006A00B7"/>
    <w:p w14:paraId="3BBCEB80" w14:textId="77777777" w:rsidR="008607AC" w:rsidRDefault="008607AC" w:rsidP="008607AC"/>
    <w:p w14:paraId="59A3707B" w14:textId="77777777" w:rsidR="008607AC" w:rsidRDefault="008607AC">
      <w:pPr>
        <w:spacing w:after="200" w:line="276" w:lineRule="auto"/>
        <w:rPr>
          <w:rFonts w:eastAsia="Calibri"/>
          <w:b/>
          <w:bCs/>
        </w:rPr>
      </w:pPr>
      <w:r>
        <w:br w:type="page"/>
      </w:r>
    </w:p>
    <w:p w14:paraId="6E1EF67F" w14:textId="77777777" w:rsidR="008607AC" w:rsidRPr="008607AC" w:rsidRDefault="008607AC" w:rsidP="00A738AC">
      <w:pPr>
        <w:pStyle w:val="Caption"/>
        <w:keepNext/>
        <w:rPr>
          <w:rFonts w:ascii="Times New Roman" w:hAnsi="Times New Roman"/>
          <w:color w:val="auto"/>
          <w:sz w:val="24"/>
          <w:szCs w:val="24"/>
        </w:rPr>
      </w:pPr>
      <w:r>
        <w:rPr>
          <w:rFonts w:ascii="Times New Roman" w:hAnsi="Times New Roman"/>
          <w:color w:val="auto"/>
          <w:sz w:val="24"/>
          <w:szCs w:val="24"/>
        </w:rPr>
        <w:lastRenderedPageBreak/>
        <w:t xml:space="preserve">Appendix </w:t>
      </w:r>
      <w:r w:rsidRPr="008607AC">
        <w:rPr>
          <w:rFonts w:ascii="Times New Roman" w:hAnsi="Times New Roman"/>
          <w:color w:val="auto"/>
          <w:sz w:val="24"/>
          <w:szCs w:val="24"/>
        </w:rPr>
        <w:t xml:space="preserve">Table </w:t>
      </w:r>
      <w:r>
        <w:rPr>
          <w:rFonts w:ascii="Times New Roman" w:hAnsi="Times New Roman"/>
          <w:color w:val="auto"/>
          <w:sz w:val="24"/>
          <w:szCs w:val="24"/>
        </w:rPr>
        <w:t>3: Countries in the sample</w:t>
      </w:r>
    </w:p>
    <w:p w14:paraId="34E361D8" w14:textId="77777777" w:rsidR="008607AC" w:rsidRPr="00E23BDD" w:rsidRDefault="008607AC" w:rsidP="008607AC">
      <w:r>
        <w:t>Panel A: Countries that containerize by port or rail 1966-1983 (122 countries)</w:t>
      </w:r>
    </w:p>
    <w:tbl>
      <w:tblPr>
        <w:tblStyle w:val="TableGrid"/>
        <w:tblW w:w="996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
        <w:gridCol w:w="1938"/>
        <w:gridCol w:w="1903"/>
        <w:gridCol w:w="1846"/>
        <w:gridCol w:w="1632"/>
        <w:gridCol w:w="1991"/>
      </w:tblGrid>
      <w:tr w:rsidR="008607AC" w14:paraId="5E60F483" w14:textId="77777777" w:rsidTr="008607AC">
        <w:tc>
          <w:tcPr>
            <w:tcW w:w="0" w:type="auto"/>
          </w:tcPr>
          <w:p w14:paraId="122D711D" w14:textId="77777777" w:rsidR="008607AC" w:rsidRPr="00683F32" w:rsidRDefault="008607AC" w:rsidP="008607AC">
            <w:pPr>
              <w:rPr>
                <w:sz w:val="22"/>
                <w:szCs w:val="22"/>
              </w:rPr>
            </w:pPr>
            <w:r w:rsidRPr="00683F32">
              <w:rPr>
                <w:sz w:val="22"/>
                <w:szCs w:val="22"/>
              </w:rPr>
              <w:t>1966</w:t>
            </w:r>
          </w:p>
        </w:tc>
        <w:tc>
          <w:tcPr>
            <w:tcW w:w="1938" w:type="dxa"/>
          </w:tcPr>
          <w:p w14:paraId="7459309C" w14:textId="77777777" w:rsidR="008607AC" w:rsidRPr="00A83CC6" w:rsidRDefault="00A83CC6" w:rsidP="008607AC">
            <w:pPr>
              <w:rPr>
                <w:sz w:val="22"/>
                <w:szCs w:val="22"/>
                <w:vertAlign w:val="superscript"/>
              </w:rPr>
            </w:pPr>
            <w:r>
              <w:rPr>
                <w:sz w:val="22"/>
                <w:szCs w:val="22"/>
              </w:rPr>
              <w:t>West Germany(P)</w:t>
            </w:r>
            <w:r w:rsidRPr="00683F32">
              <w:rPr>
                <w:sz w:val="22"/>
                <w:szCs w:val="22"/>
              </w:rPr>
              <w:t>*</w:t>
            </w:r>
          </w:p>
        </w:tc>
        <w:tc>
          <w:tcPr>
            <w:tcW w:w="0" w:type="auto"/>
          </w:tcPr>
          <w:p w14:paraId="1CAAD107" w14:textId="77777777" w:rsidR="008607AC" w:rsidRPr="00683F32" w:rsidRDefault="008607AC" w:rsidP="008607AC">
            <w:pPr>
              <w:rPr>
                <w:sz w:val="22"/>
                <w:szCs w:val="22"/>
              </w:rPr>
            </w:pPr>
            <w:r w:rsidRPr="00683F32">
              <w:rPr>
                <w:sz w:val="22"/>
                <w:szCs w:val="22"/>
              </w:rPr>
              <w:t>Netherlands(P)*</w:t>
            </w:r>
          </w:p>
        </w:tc>
        <w:tc>
          <w:tcPr>
            <w:tcW w:w="0" w:type="auto"/>
          </w:tcPr>
          <w:p w14:paraId="6021B2DD" w14:textId="77777777" w:rsidR="008607AC" w:rsidRPr="00683F32" w:rsidRDefault="008607AC" w:rsidP="008607AC">
            <w:pPr>
              <w:rPr>
                <w:sz w:val="22"/>
                <w:szCs w:val="22"/>
              </w:rPr>
            </w:pPr>
            <w:r w:rsidRPr="00683F32">
              <w:rPr>
                <w:sz w:val="22"/>
                <w:szCs w:val="22"/>
              </w:rPr>
              <w:t>UK(P)(R)*</w:t>
            </w:r>
          </w:p>
        </w:tc>
        <w:tc>
          <w:tcPr>
            <w:tcW w:w="1632" w:type="dxa"/>
          </w:tcPr>
          <w:p w14:paraId="07D7A068" w14:textId="77777777" w:rsidR="008607AC" w:rsidRPr="00683F32" w:rsidRDefault="008607AC" w:rsidP="008607AC">
            <w:pPr>
              <w:rPr>
                <w:sz w:val="22"/>
                <w:szCs w:val="22"/>
              </w:rPr>
            </w:pPr>
            <w:r w:rsidRPr="00683F32">
              <w:rPr>
                <w:sz w:val="22"/>
                <w:szCs w:val="22"/>
              </w:rPr>
              <w:t>USA(P)*</w:t>
            </w:r>
          </w:p>
        </w:tc>
        <w:tc>
          <w:tcPr>
            <w:tcW w:w="1991" w:type="dxa"/>
          </w:tcPr>
          <w:p w14:paraId="76315A45" w14:textId="77777777" w:rsidR="008607AC" w:rsidRPr="00683F32" w:rsidRDefault="00A83CC6" w:rsidP="008607AC">
            <w:pPr>
              <w:rPr>
                <w:sz w:val="22"/>
                <w:szCs w:val="22"/>
              </w:rPr>
            </w:pPr>
            <w:r>
              <w:rPr>
                <w:sz w:val="22"/>
                <w:szCs w:val="22"/>
              </w:rPr>
              <w:t>India (R)</w:t>
            </w:r>
          </w:p>
        </w:tc>
      </w:tr>
      <w:tr w:rsidR="008607AC" w14:paraId="77759FAC" w14:textId="77777777" w:rsidTr="008607AC">
        <w:tc>
          <w:tcPr>
            <w:tcW w:w="0" w:type="auto"/>
          </w:tcPr>
          <w:p w14:paraId="489131B6" w14:textId="77777777" w:rsidR="008607AC" w:rsidRPr="00683F32" w:rsidRDefault="008607AC" w:rsidP="008607AC">
            <w:pPr>
              <w:rPr>
                <w:sz w:val="22"/>
                <w:szCs w:val="22"/>
              </w:rPr>
            </w:pPr>
            <w:r w:rsidRPr="00683F32">
              <w:rPr>
                <w:sz w:val="22"/>
                <w:szCs w:val="22"/>
              </w:rPr>
              <w:t>1968</w:t>
            </w:r>
          </w:p>
        </w:tc>
        <w:tc>
          <w:tcPr>
            <w:tcW w:w="1938" w:type="dxa"/>
          </w:tcPr>
          <w:p w14:paraId="052CF115" w14:textId="77777777" w:rsidR="008607AC" w:rsidRPr="00683F32" w:rsidRDefault="008607AC" w:rsidP="008607AC">
            <w:pPr>
              <w:rPr>
                <w:sz w:val="22"/>
                <w:szCs w:val="22"/>
              </w:rPr>
            </w:pPr>
            <w:r w:rsidRPr="00683F32">
              <w:rPr>
                <w:sz w:val="22"/>
                <w:szCs w:val="22"/>
              </w:rPr>
              <w:t>Australia(P)*</w:t>
            </w:r>
          </w:p>
        </w:tc>
        <w:tc>
          <w:tcPr>
            <w:tcW w:w="0" w:type="auto"/>
          </w:tcPr>
          <w:p w14:paraId="28295D91" w14:textId="77777777" w:rsidR="008607AC" w:rsidRPr="00683F32" w:rsidRDefault="008607AC" w:rsidP="008607AC">
            <w:pPr>
              <w:rPr>
                <w:sz w:val="22"/>
                <w:szCs w:val="22"/>
              </w:rPr>
            </w:pPr>
            <w:r w:rsidRPr="00683F32">
              <w:rPr>
                <w:sz w:val="22"/>
                <w:szCs w:val="22"/>
              </w:rPr>
              <w:t>Austria(R)*</w:t>
            </w:r>
          </w:p>
        </w:tc>
        <w:tc>
          <w:tcPr>
            <w:tcW w:w="0" w:type="auto"/>
          </w:tcPr>
          <w:p w14:paraId="55F73A39" w14:textId="77777777" w:rsidR="008607AC" w:rsidRPr="00683F32" w:rsidRDefault="008607AC" w:rsidP="008607AC">
            <w:pPr>
              <w:rPr>
                <w:sz w:val="22"/>
                <w:szCs w:val="22"/>
              </w:rPr>
            </w:pPr>
            <w:r w:rsidRPr="00683F32">
              <w:rPr>
                <w:sz w:val="22"/>
                <w:szCs w:val="22"/>
              </w:rPr>
              <w:t>Belgium(P)*</w:t>
            </w:r>
          </w:p>
        </w:tc>
        <w:tc>
          <w:tcPr>
            <w:tcW w:w="1632" w:type="dxa"/>
          </w:tcPr>
          <w:p w14:paraId="08817F8B" w14:textId="77777777" w:rsidR="008607AC" w:rsidRPr="00683F32" w:rsidRDefault="008607AC" w:rsidP="008607AC">
            <w:pPr>
              <w:rPr>
                <w:sz w:val="22"/>
                <w:szCs w:val="22"/>
              </w:rPr>
            </w:pPr>
            <w:r w:rsidRPr="00683F32">
              <w:rPr>
                <w:sz w:val="22"/>
                <w:szCs w:val="22"/>
              </w:rPr>
              <w:t>Canada(P)*</w:t>
            </w:r>
          </w:p>
        </w:tc>
        <w:tc>
          <w:tcPr>
            <w:tcW w:w="1991" w:type="dxa"/>
          </w:tcPr>
          <w:p w14:paraId="6B069B03" w14:textId="77777777" w:rsidR="008607AC" w:rsidRPr="00683F32" w:rsidRDefault="008607AC" w:rsidP="008607AC">
            <w:pPr>
              <w:rPr>
                <w:sz w:val="22"/>
                <w:szCs w:val="22"/>
              </w:rPr>
            </w:pPr>
            <w:r w:rsidRPr="00683F32">
              <w:rPr>
                <w:sz w:val="22"/>
                <w:szCs w:val="22"/>
              </w:rPr>
              <w:t>Denmark(P)*</w:t>
            </w:r>
          </w:p>
        </w:tc>
      </w:tr>
      <w:tr w:rsidR="008607AC" w14:paraId="7D2C5AB7" w14:textId="77777777" w:rsidTr="008607AC">
        <w:tc>
          <w:tcPr>
            <w:tcW w:w="0" w:type="auto"/>
          </w:tcPr>
          <w:p w14:paraId="767B84BD" w14:textId="77777777" w:rsidR="008607AC" w:rsidRPr="00683F32" w:rsidRDefault="008607AC" w:rsidP="008607AC">
            <w:pPr>
              <w:rPr>
                <w:sz w:val="22"/>
                <w:szCs w:val="22"/>
              </w:rPr>
            </w:pPr>
          </w:p>
        </w:tc>
        <w:tc>
          <w:tcPr>
            <w:tcW w:w="1938" w:type="dxa"/>
          </w:tcPr>
          <w:p w14:paraId="7BA03F37" w14:textId="77777777" w:rsidR="008607AC" w:rsidRPr="00683F32" w:rsidRDefault="008607AC" w:rsidP="008607AC">
            <w:pPr>
              <w:ind w:right="-450"/>
              <w:rPr>
                <w:sz w:val="22"/>
                <w:szCs w:val="22"/>
              </w:rPr>
            </w:pPr>
            <w:r w:rsidRPr="00683F32">
              <w:rPr>
                <w:sz w:val="22"/>
                <w:szCs w:val="22"/>
              </w:rPr>
              <w:t>East Germany(R)</w:t>
            </w:r>
          </w:p>
        </w:tc>
        <w:tc>
          <w:tcPr>
            <w:tcW w:w="0" w:type="auto"/>
          </w:tcPr>
          <w:p w14:paraId="4DA62B39" w14:textId="77777777" w:rsidR="008607AC" w:rsidRPr="00683F32" w:rsidRDefault="008607AC" w:rsidP="008607AC">
            <w:pPr>
              <w:rPr>
                <w:sz w:val="22"/>
                <w:szCs w:val="22"/>
              </w:rPr>
            </w:pPr>
            <w:r w:rsidRPr="00683F32">
              <w:rPr>
                <w:sz w:val="22"/>
                <w:szCs w:val="22"/>
              </w:rPr>
              <w:t>F</w:t>
            </w:r>
            <w:r>
              <w:rPr>
                <w:sz w:val="22"/>
                <w:szCs w:val="22"/>
              </w:rPr>
              <w:t>rance(P)*</w:t>
            </w:r>
          </w:p>
        </w:tc>
        <w:tc>
          <w:tcPr>
            <w:tcW w:w="0" w:type="auto"/>
          </w:tcPr>
          <w:p w14:paraId="7AD5087D" w14:textId="77777777" w:rsidR="008607AC" w:rsidRPr="00683F32" w:rsidRDefault="008607AC" w:rsidP="008607AC">
            <w:pPr>
              <w:rPr>
                <w:sz w:val="22"/>
                <w:szCs w:val="22"/>
              </w:rPr>
            </w:pPr>
            <w:r>
              <w:rPr>
                <w:sz w:val="22"/>
                <w:szCs w:val="22"/>
              </w:rPr>
              <w:t>Hungary(R)</w:t>
            </w:r>
          </w:p>
        </w:tc>
        <w:tc>
          <w:tcPr>
            <w:tcW w:w="1632" w:type="dxa"/>
          </w:tcPr>
          <w:p w14:paraId="59B39AFF" w14:textId="77777777" w:rsidR="008607AC" w:rsidRPr="00683F32" w:rsidRDefault="008607AC" w:rsidP="008607AC">
            <w:pPr>
              <w:rPr>
                <w:sz w:val="22"/>
                <w:szCs w:val="22"/>
              </w:rPr>
            </w:pPr>
            <w:r>
              <w:rPr>
                <w:sz w:val="22"/>
                <w:szCs w:val="22"/>
              </w:rPr>
              <w:t>Ireland(R)*</w:t>
            </w:r>
          </w:p>
        </w:tc>
        <w:tc>
          <w:tcPr>
            <w:tcW w:w="1991" w:type="dxa"/>
          </w:tcPr>
          <w:p w14:paraId="5A4DFE94" w14:textId="77777777" w:rsidR="008607AC" w:rsidRPr="00683F32" w:rsidRDefault="008607AC" w:rsidP="008607AC">
            <w:pPr>
              <w:rPr>
                <w:sz w:val="22"/>
                <w:szCs w:val="22"/>
              </w:rPr>
            </w:pPr>
            <w:r>
              <w:rPr>
                <w:sz w:val="22"/>
                <w:szCs w:val="22"/>
              </w:rPr>
              <w:t>Italy(P)*</w:t>
            </w:r>
          </w:p>
        </w:tc>
      </w:tr>
      <w:tr w:rsidR="008607AC" w14:paraId="0322D893" w14:textId="77777777" w:rsidTr="008607AC">
        <w:tc>
          <w:tcPr>
            <w:tcW w:w="0" w:type="auto"/>
          </w:tcPr>
          <w:p w14:paraId="29A10E5A" w14:textId="77777777" w:rsidR="008607AC" w:rsidRPr="00683F32" w:rsidRDefault="008607AC" w:rsidP="008607AC">
            <w:pPr>
              <w:rPr>
                <w:sz w:val="22"/>
                <w:szCs w:val="22"/>
              </w:rPr>
            </w:pPr>
          </w:p>
        </w:tc>
        <w:tc>
          <w:tcPr>
            <w:tcW w:w="1938" w:type="dxa"/>
          </w:tcPr>
          <w:p w14:paraId="22B04D84" w14:textId="77777777" w:rsidR="008607AC" w:rsidRPr="00683F32" w:rsidRDefault="008607AC" w:rsidP="008607AC">
            <w:pPr>
              <w:rPr>
                <w:sz w:val="22"/>
                <w:szCs w:val="22"/>
              </w:rPr>
            </w:pPr>
            <w:r>
              <w:rPr>
                <w:sz w:val="22"/>
                <w:szCs w:val="22"/>
              </w:rPr>
              <w:t>Spain(R)*</w:t>
            </w:r>
          </w:p>
        </w:tc>
        <w:tc>
          <w:tcPr>
            <w:tcW w:w="0" w:type="auto"/>
          </w:tcPr>
          <w:p w14:paraId="609A8AFB" w14:textId="77777777" w:rsidR="008607AC" w:rsidRPr="00683F32" w:rsidRDefault="008607AC" w:rsidP="008607AC">
            <w:pPr>
              <w:rPr>
                <w:sz w:val="22"/>
                <w:szCs w:val="22"/>
              </w:rPr>
            </w:pPr>
            <w:r>
              <w:rPr>
                <w:sz w:val="22"/>
                <w:szCs w:val="22"/>
              </w:rPr>
              <w:t>Sweden(R)*</w:t>
            </w:r>
          </w:p>
        </w:tc>
        <w:tc>
          <w:tcPr>
            <w:tcW w:w="0" w:type="auto"/>
          </w:tcPr>
          <w:p w14:paraId="23D2AAB5" w14:textId="77777777" w:rsidR="008607AC" w:rsidRPr="00683F32" w:rsidRDefault="008607AC" w:rsidP="008607AC">
            <w:pPr>
              <w:rPr>
                <w:sz w:val="22"/>
                <w:szCs w:val="22"/>
              </w:rPr>
            </w:pPr>
            <w:r>
              <w:rPr>
                <w:sz w:val="22"/>
                <w:szCs w:val="22"/>
              </w:rPr>
              <w:t>Switzerland(R)*</w:t>
            </w:r>
          </w:p>
        </w:tc>
        <w:tc>
          <w:tcPr>
            <w:tcW w:w="1632" w:type="dxa"/>
          </w:tcPr>
          <w:p w14:paraId="63EBAE54" w14:textId="77777777" w:rsidR="008607AC" w:rsidRPr="00683F32" w:rsidRDefault="008607AC" w:rsidP="008607AC">
            <w:pPr>
              <w:rPr>
                <w:sz w:val="22"/>
                <w:szCs w:val="22"/>
              </w:rPr>
            </w:pPr>
            <w:r>
              <w:rPr>
                <w:sz w:val="22"/>
                <w:szCs w:val="22"/>
              </w:rPr>
              <w:t>Taiwan(P)</w:t>
            </w:r>
          </w:p>
        </w:tc>
        <w:tc>
          <w:tcPr>
            <w:tcW w:w="1991" w:type="dxa"/>
          </w:tcPr>
          <w:p w14:paraId="638BBEC8" w14:textId="77777777" w:rsidR="008607AC" w:rsidRPr="00683F32" w:rsidRDefault="008607AC" w:rsidP="008607AC">
            <w:pPr>
              <w:rPr>
                <w:sz w:val="22"/>
                <w:szCs w:val="22"/>
              </w:rPr>
            </w:pPr>
          </w:p>
        </w:tc>
      </w:tr>
      <w:tr w:rsidR="008607AC" w14:paraId="3AFA3B9A" w14:textId="77777777" w:rsidTr="008607AC">
        <w:tc>
          <w:tcPr>
            <w:tcW w:w="0" w:type="auto"/>
          </w:tcPr>
          <w:p w14:paraId="6ADB31AD" w14:textId="77777777" w:rsidR="008607AC" w:rsidRPr="00683F32" w:rsidRDefault="008607AC" w:rsidP="008607AC">
            <w:pPr>
              <w:rPr>
                <w:sz w:val="22"/>
                <w:szCs w:val="22"/>
              </w:rPr>
            </w:pPr>
            <w:r>
              <w:rPr>
                <w:sz w:val="22"/>
                <w:szCs w:val="22"/>
              </w:rPr>
              <w:t>1969</w:t>
            </w:r>
          </w:p>
        </w:tc>
        <w:tc>
          <w:tcPr>
            <w:tcW w:w="1938" w:type="dxa"/>
          </w:tcPr>
          <w:p w14:paraId="760DB57B" w14:textId="77777777" w:rsidR="008607AC" w:rsidRPr="00683F32" w:rsidRDefault="008607AC" w:rsidP="008607AC">
            <w:pPr>
              <w:rPr>
                <w:sz w:val="22"/>
                <w:szCs w:val="22"/>
              </w:rPr>
            </w:pPr>
            <w:r>
              <w:rPr>
                <w:sz w:val="22"/>
                <w:szCs w:val="22"/>
              </w:rPr>
              <w:t>Finland(P)*</w:t>
            </w:r>
          </w:p>
        </w:tc>
        <w:tc>
          <w:tcPr>
            <w:tcW w:w="0" w:type="auto"/>
          </w:tcPr>
          <w:p w14:paraId="06F8155D" w14:textId="77777777" w:rsidR="008607AC" w:rsidRPr="00683F32" w:rsidRDefault="008607AC" w:rsidP="008607AC">
            <w:pPr>
              <w:rPr>
                <w:sz w:val="22"/>
                <w:szCs w:val="22"/>
              </w:rPr>
            </w:pPr>
            <w:r>
              <w:rPr>
                <w:sz w:val="22"/>
                <w:szCs w:val="22"/>
              </w:rPr>
              <w:t>Yugoslavia(R)</w:t>
            </w:r>
          </w:p>
        </w:tc>
        <w:tc>
          <w:tcPr>
            <w:tcW w:w="0" w:type="auto"/>
          </w:tcPr>
          <w:p w14:paraId="765856FD" w14:textId="77777777" w:rsidR="008607AC" w:rsidRPr="00683F32" w:rsidRDefault="008607AC" w:rsidP="008607AC">
            <w:pPr>
              <w:rPr>
                <w:sz w:val="22"/>
                <w:szCs w:val="22"/>
              </w:rPr>
            </w:pPr>
            <w:r>
              <w:rPr>
                <w:sz w:val="22"/>
                <w:szCs w:val="22"/>
              </w:rPr>
              <w:t>Japan(P)*</w:t>
            </w:r>
          </w:p>
        </w:tc>
        <w:tc>
          <w:tcPr>
            <w:tcW w:w="1632" w:type="dxa"/>
          </w:tcPr>
          <w:p w14:paraId="360E2FAE" w14:textId="77777777" w:rsidR="008607AC" w:rsidRPr="00683F32" w:rsidRDefault="008607AC" w:rsidP="008607AC">
            <w:pPr>
              <w:rPr>
                <w:sz w:val="22"/>
                <w:szCs w:val="22"/>
              </w:rPr>
            </w:pPr>
            <w:r>
              <w:rPr>
                <w:sz w:val="22"/>
                <w:szCs w:val="22"/>
              </w:rPr>
              <w:t>Norway(R)*</w:t>
            </w:r>
          </w:p>
        </w:tc>
        <w:tc>
          <w:tcPr>
            <w:tcW w:w="1991" w:type="dxa"/>
          </w:tcPr>
          <w:p w14:paraId="59480525" w14:textId="77777777" w:rsidR="008607AC" w:rsidRPr="00683F32" w:rsidRDefault="008607AC" w:rsidP="008607AC">
            <w:pPr>
              <w:rPr>
                <w:sz w:val="22"/>
                <w:szCs w:val="22"/>
              </w:rPr>
            </w:pPr>
            <w:r>
              <w:rPr>
                <w:sz w:val="22"/>
                <w:szCs w:val="22"/>
              </w:rPr>
              <w:t>Portugal(P)*</w:t>
            </w:r>
          </w:p>
        </w:tc>
      </w:tr>
      <w:tr w:rsidR="008607AC" w14:paraId="411F8294" w14:textId="77777777" w:rsidTr="008607AC">
        <w:tc>
          <w:tcPr>
            <w:tcW w:w="0" w:type="auto"/>
          </w:tcPr>
          <w:p w14:paraId="2CCD50A6" w14:textId="77777777" w:rsidR="008607AC" w:rsidRPr="00683F32" w:rsidRDefault="008607AC" w:rsidP="008607AC">
            <w:pPr>
              <w:rPr>
                <w:sz w:val="22"/>
                <w:szCs w:val="22"/>
              </w:rPr>
            </w:pPr>
            <w:r>
              <w:rPr>
                <w:sz w:val="22"/>
                <w:szCs w:val="22"/>
              </w:rPr>
              <w:t>1970</w:t>
            </w:r>
          </w:p>
        </w:tc>
        <w:tc>
          <w:tcPr>
            <w:tcW w:w="1938" w:type="dxa"/>
          </w:tcPr>
          <w:p w14:paraId="5B9BB1A4" w14:textId="77777777" w:rsidR="008607AC" w:rsidRPr="00683F32" w:rsidRDefault="008607AC" w:rsidP="008607AC">
            <w:pPr>
              <w:rPr>
                <w:sz w:val="22"/>
                <w:szCs w:val="22"/>
              </w:rPr>
            </w:pPr>
            <w:r>
              <w:rPr>
                <w:sz w:val="22"/>
                <w:szCs w:val="22"/>
              </w:rPr>
              <w:t>Hong Kong(P)</w:t>
            </w:r>
          </w:p>
        </w:tc>
        <w:tc>
          <w:tcPr>
            <w:tcW w:w="0" w:type="auto"/>
          </w:tcPr>
          <w:p w14:paraId="7EFAC966" w14:textId="77777777" w:rsidR="008607AC" w:rsidRPr="00683F32" w:rsidRDefault="008607AC" w:rsidP="008607AC">
            <w:pPr>
              <w:rPr>
                <w:sz w:val="22"/>
                <w:szCs w:val="22"/>
              </w:rPr>
            </w:pPr>
            <w:r>
              <w:rPr>
                <w:sz w:val="22"/>
                <w:szCs w:val="22"/>
              </w:rPr>
              <w:t>USSR(R)</w:t>
            </w:r>
          </w:p>
        </w:tc>
        <w:tc>
          <w:tcPr>
            <w:tcW w:w="0" w:type="auto"/>
          </w:tcPr>
          <w:p w14:paraId="760D52AD" w14:textId="77777777" w:rsidR="008607AC" w:rsidRPr="00683F32" w:rsidRDefault="008607AC" w:rsidP="008607AC">
            <w:pPr>
              <w:rPr>
                <w:sz w:val="22"/>
                <w:szCs w:val="22"/>
              </w:rPr>
            </w:pPr>
            <w:r>
              <w:rPr>
                <w:sz w:val="22"/>
                <w:szCs w:val="22"/>
              </w:rPr>
              <w:t>Greece(P)*</w:t>
            </w:r>
          </w:p>
        </w:tc>
        <w:tc>
          <w:tcPr>
            <w:tcW w:w="1632" w:type="dxa"/>
          </w:tcPr>
          <w:p w14:paraId="7829A42A" w14:textId="77777777" w:rsidR="008607AC" w:rsidRPr="00683F32" w:rsidRDefault="008607AC" w:rsidP="008607AC">
            <w:pPr>
              <w:rPr>
                <w:sz w:val="22"/>
                <w:szCs w:val="22"/>
              </w:rPr>
            </w:pPr>
            <w:r>
              <w:rPr>
                <w:sz w:val="22"/>
                <w:szCs w:val="22"/>
              </w:rPr>
              <w:t>Israel(P)</w:t>
            </w:r>
          </w:p>
        </w:tc>
        <w:tc>
          <w:tcPr>
            <w:tcW w:w="1991" w:type="dxa"/>
          </w:tcPr>
          <w:p w14:paraId="708BE00F" w14:textId="77777777" w:rsidR="008607AC" w:rsidRPr="00683F32" w:rsidRDefault="008607AC" w:rsidP="008607AC">
            <w:pPr>
              <w:rPr>
                <w:sz w:val="22"/>
                <w:szCs w:val="22"/>
              </w:rPr>
            </w:pPr>
            <w:r>
              <w:rPr>
                <w:sz w:val="22"/>
                <w:szCs w:val="22"/>
              </w:rPr>
              <w:t>Romania(R)</w:t>
            </w:r>
          </w:p>
        </w:tc>
      </w:tr>
      <w:tr w:rsidR="008607AC" w14:paraId="4AE407C7" w14:textId="77777777" w:rsidTr="008607AC">
        <w:tc>
          <w:tcPr>
            <w:tcW w:w="0" w:type="auto"/>
          </w:tcPr>
          <w:p w14:paraId="70E14D97" w14:textId="77777777" w:rsidR="008607AC" w:rsidRPr="00683F32" w:rsidRDefault="008607AC" w:rsidP="008607AC">
            <w:pPr>
              <w:rPr>
                <w:sz w:val="22"/>
                <w:szCs w:val="22"/>
              </w:rPr>
            </w:pPr>
          </w:p>
        </w:tc>
        <w:tc>
          <w:tcPr>
            <w:tcW w:w="1938" w:type="dxa"/>
          </w:tcPr>
          <w:p w14:paraId="0E6A944B" w14:textId="77777777" w:rsidR="008607AC" w:rsidRPr="00683F32" w:rsidRDefault="008607AC" w:rsidP="008607AC">
            <w:pPr>
              <w:rPr>
                <w:sz w:val="22"/>
                <w:szCs w:val="22"/>
              </w:rPr>
            </w:pPr>
            <w:r>
              <w:rPr>
                <w:sz w:val="22"/>
                <w:szCs w:val="22"/>
              </w:rPr>
              <w:t>Singapore(P)</w:t>
            </w:r>
          </w:p>
        </w:tc>
        <w:tc>
          <w:tcPr>
            <w:tcW w:w="0" w:type="auto"/>
          </w:tcPr>
          <w:p w14:paraId="29C7AD3B" w14:textId="77777777" w:rsidR="008607AC" w:rsidRPr="00683F32" w:rsidRDefault="008607AC" w:rsidP="008607AC">
            <w:pPr>
              <w:rPr>
                <w:sz w:val="22"/>
                <w:szCs w:val="22"/>
              </w:rPr>
            </w:pPr>
          </w:p>
        </w:tc>
        <w:tc>
          <w:tcPr>
            <w:tcW w:w="0" w:type="auto"/>
          </w:tcPr>
          <w:p w14:paraId="6C4D7BCF" w14:textId="77777777" w:rsidR="008607AC" w:rsidRPr="00683F32" w:rsidRDefault="008607AC" w:rsidP="008607AC">
            <w:pPr>
              <w:rPr>
                <w:sz w:val="22"/>
                <w:szCs w:val="22"/>
              </w:rPr>
            </w:pPr>
          </w:p>
        </w:tc>
        <w:tc>
          <w:tcPr>
            <w:tcW w:w="1632" w:type="dxa"/>
          </w:tcPr>
          <w:p w14:paraId="7393AA0F" w14:textId="77777777" w:rsidR="008607AC" w:rsidRPr="00683F32" w:rsidRDefault="008607AC" w:rsidP="008607AC">
            <w:pPr>
              <w:rPr>
                <w:sz w:val="22"/>
                <w:szCs w:val="22"/>
              </w:rPr>
            </w:pPr>
          </w:p>
        </w:tc>
        <w:tc>
          <w:tcPr>
            <w:tcW w:w="1991" w:type="dxa"/>
          </w:tcPr>
          <w:p w14:paraId="02EFF704" w14:textId="77777777" w:rsidR="008607AC" w:rsidRPr="00683F32" w:rsidRDefault="008607AC" w:rsidP="008607AC">
            <w:pPr>
              <w:rPr>
                <w:sz w:val="22"/>
                <w:szCs w:val="22"/>
              </w:rPr>
            </w:pPr>
          </w:p>
        </w:tc>
      </w:tr>
      <w:tr w:rsidR="008607AC" w14:paraId="2E9D083C" w14:textId="77777777" w:rsidTr="008607AC">
        <w:tc>
          <w:tcPr>
            <w:tcW w:w="0" w:type="auto"/>
          </w:tcPr>
          <w:p w14:paraId="290B4765" w14:textId="77777777" w:rsidR="008607AC" w:rsidRPr="00683F32" w:rsidRDefault="008607AC" w:rsidP="008607AC">
            <w:pPr>
              <w:rPr>
                <w:sz w:val="22"/>
                <w:szCs w:val="22"/>
              </w:rPr>
            </w:pPr>
            <w:r>
              <w:rPr>
                <w:sz w:val="22"/>
                <w:szCs w:val="22"/>
              </w:rPr>
              <w:t>1971</w:t>
            </w:r>
          </w:p>
        </w:tc>
        <w:tc>
          <w:tcPr>
            <w:tcW w:w="1938" w:type="dxa"/>
          </w:tcPr>
          <w:p w14:paraId="30BEBFF7" w14:textId="77777777" w:rsidR="008607AC" w:rsidRDefault="008607AC" w:rsidP="008607AC">
            <w:pPr>
              <w:rPr>
                <w:sz w:val="22"/>
                <w:szCs w:val="22"/>
              </w:rPr>
            </w:pPr>
            <w:r>
              <w:rPr>
                <w:sz w:val="22"/>
                <w:szCs w:val="22"/>
              </w:rPr>
              <w:t>Cote D’Ivoire(P)</w:t>
            </w:r>
          </w:p>
        </w:tc>
        <w:tc>
          <w:tcPr>
            <w:tcW w:w="0" w:type="auto"/>
          </w:tcPr>
          <w:p w14:paraId="20D72B24" w14:textId="77777777" w:rsidR="008607AC" w:rsidRPr="00683F32" w:rsidRDefault="008607AC" w:rsidP="008607AC">
            <w:pPr>
              <w:rPr>
                <w:sz w:val="22"/>
                <w:szCs w:val="22"/>
              </w:rPr>
            </w:pPr>
            <w:r>
              <w:rPr>
                <w:sz w:val="22"/>
                <w:szCs w:val="22"/>
              </w:rPr>
              <w:t>New Zealand(P)*</w:t>
            </w:r>
          </w:p>
        </w:tc>
        <w:tc>
          <w:tcPr>
            <w:tcW w:w="0" w:type="auto"/>
          </w:tcPr>
          <w:p w14:paraId="799ED7B2" w14:textId="77777777" w:rsidR="008607AC" w:rsidRPr="00683F32" w:rsidRDefault="008607AC" w:rsidP="008607AC">
            <w:pPr>
              <w:rPr>
                <w:sz w:val="22"/>
                <w:szCs w:val="22"/>
              </w:rPr>
            </w:pPr>
            <w:r>
              <w:rPr>
                <w:sz w:val="22"/>
                <w:szCs w:val="22"/>
              </w:rPr>
              <w:t>Philippines(P)</w:t>
            </w:r>
          </w:p>
        </w:tc>
        <w:tc>
          <w:tcPr>
            <w:tcW w:w="1632" w:type="dxa"/>
          </w:tcPr>
          <w:p w14:paraId="5DC5BCC7" w14:textId="77777777" w:rsidR="008607AC" w:rsidRPr="00683F32" w:rsidRDefault="008607AC" w:rsidP="008607AC">
            <w:pPr>
              <w:rPr>
                <w:sz w:val="22"/>
                <w:szCs w:val="22"/>
              </w:rPr>
            </w:pPr>
            <w:r>
              <w:rPr>
                <w:sz w:val="22"/>
                <w:szCs w:val="22"/>
              </w:rPr>
              <w:t>Poland(P)</w:t>
            </w:r>
          </w:p>
        </w:tc>
        <w:tc>
          <w:tcPr>
            <w:tcW w:w="1991" w:type="dxa"/>
          </w:tcPr>
          <w:p w14:paraId="05E7F48A" w14:textId="77777777" w:rsidR="008607AC" w:rsidRPr="00683F32" w:rsidRDefault="008607AC" w:rsidP="008607AC">
            <w:pPr>
              <w:rPr>
                <w:sz w:val="22"/>
                <w:szCs w:val="22"/>
              </w:rPr>
            </w:pPr>
            <w:r>
              <w:rPr>
                <w:sz w:val="22"/>
                <w:szCs w:val="22"/>
              </w:rPr>
              <w:t>Trinidad(P)</w:t>
            </w:r>
          </w:p>
        </w:tc>
      </w:tr>
      <w:tr w:rsidR="008607AC" w14:paraId="2EB16B83" w14:textId="77777777" w:rsidTr="008607AC">
        <w:tc>
          <w:tcPr>
            <w:tcW w:w="0" w:type="auto"/>
          </w:tcPr>
          <w:p w14:paraId="59519ED1" w14:textId="77777777" w:rsidR="008607AC" w:rsidRPr="00683F32" w:rsidRDefault="008607AC" w:rsidP="008607AC">
            <w:pPr>
              <w:rPr>
                <w:sz w:val="22"/>
                <w:szCs w:val="22"/>
              </w:rPr>
            </w:pPr>
            <w:r>
              <w:rPr>
                <w:sz w:val="22"/>
                <w:szCs w:val="22"/>
              </w:rPr>
              <w:t>1972</w:t>
            </w:r>
          </w:p>
        </w:tc>
        <w:tc>
          <w:tcPr>
            <w:tcW w:w="1938" w:type="dxa"/>
          </w:tcPr>
          <w:p w14:paraId="2B469A88" w14:textId="77777777" w:rsidR="008607AC" w:rsidRDefault="008607AC" w:rsidP="008607AC">
            <w:pPr>
              <w:rPr>
                <w:sz w:val="22"/>
                <w:szCs w:val="22"/>
              </w:rPr>
            </w:pPr>
            <w:r>
              <w:rPr>
                <w:sz w:val="22"/>
                <w:szCs w:val="22"/>
              </w:rPr>
              <w:t>Bulgaria(R)</w:t>
            </w:r>
          </w:p>
        </w:tc>
        <w:tc>
          <w:tcPr>
            <w:tcW w:w="0" w:type="auto"/>
          </w:tcPr>
          <w:p w14:paraId="4EA32EBE" w14:textId="77777777" w:rsidR="008607AC" w:rsidRPr="00683F32" w:rsidRDefault="008607AC" w:rsidP="008607AC">
            <w:pPr>
              <w:rPr>
                <w:sz w:val="22"/>
                <w:szCs w:val="22"/>
              </w:rPr>
            </w:pPr>
            <w:r>
              <w:rPr>
                <w:sz w:val="22"/>
                <w:szCs w:val="22"/>
              </w:rPr>
              <w:t>Czechoslovakia(R)</w:t>
            </w:r>
          </w:p>
        </w:tc>
        <w:tc>
          <w:tcPr>
            <w:tcW w:w="0" w:type="auto"/>
          </w:tcPr>
          <w:p w14:paraId="654518F8" w14:textId="77777777" w:rsidR="008607AC" w:rsidRPr="00683F32" w:rsidRDefault="008607AC" w:rsidP="008607AC">
            <w:pPr>
              <w:rPr>
                <w:sz w:val="22"/>
                <w:szCs w:val="22"/>
              </w:rPr>
            </w:pPr>
          </w:p>
        </w:tc>
        <w:tc>
          <w:tcPr>
            <w:tcW w:w="1632" w:type="dxa"/>
          </w:tcPr>
          <w:p w14:paraId="26DBDC27" w14:textId="77777777" w:rsidR="008607AC" w:rsidRPr="00683F32" w:rsidRDefault="008607AC" w:rsidP="008607AC">
            <w:pPr>
              <w:rPr>
                <w:sz w:val="22"/>
                <w:szCs w:val="22"/>
              </w:rPr>
            </w:pPr>
          </w:p>
        </w:tc>
        <w:tc>
          <w:tcPr>
            <w:tcW w:w="1991" w:type="dxa"/>
          </w:tcPr>
          <w:p w14:paraId="5B9999E2" w14:textId="77777777" w:rsidR="008607AC" w:rsidRPr="00683F32" w:rsidRDefault="008607AC" w:rsidP="008607AC">
            <w:pPr>
              <w:rPr>
                <w:sz w:val="22"/>
                <w:szCs w:val="22"/>
              </w:rPr>
            </w:pPr>
          </w:p>
        </w:tc>
      </w:tr>
      <w:tr w:rsidR="008607AC" w14:paraId="17B574CE" w14:textId="77777777" w:rsidTr="008607AC">
        <w:trPr>
          <w:trHeight w:val="207"/>
        </w:trPr>
        <w:tc>
          <w:tcPr>
            <w:tcW w:w="0" w:type="auto"/>
          </w:tcPr>
          <w:p w14:paraId="67765675" w14:textId="77777777" w:rsidR="008607AC" w:rsidRPr="00683F32" w:rsidRDefault="008607AC" w:rsidP="008607AC">
            <w:pPr>
              <w:rPr>
                <w:sz w:val="22"/>
                <w:szCs w:val="22"/>
              </w:rPr>
            </w:pPr>
            <w:r>
              <w:rPr>
                <w:sz w:val="22"/>
                <w:szCs w:val="22"/>
              </w:rPr>
              <w:t>1973</w:t>
            </w:r>
          </w:p>
        </w:tc>
        <w:tc>
          <w:tcPr>
            <w:tcW w:w="1938" w:type="dxa"/>
          </w:tcPr>
          <w:p w14:paraId="41DFA67D" w14:textId="77777777" w:rsidR="008607AC" w:rsidRDefault="008607AC" w:rsidP="008607AC">
            <w:pPr>
              <w:rPr>
                <w:sz w:val="22"/>
                <w:szCs w:val="22"/>
              </w:rPr>
            </w:pPr>
            <w:r>
              <w:rPr>
                <w:sz w:val="22"/>
                <w:szCs w:val="22"/>
              </w:rPr>
              <w:t>Bahamas(P)</w:t>
            </w:r>
          </w:p>
        </w:tc>
        <w:tc>
          <w:tcPr>
            <w:tcW w:w="0" w:type="auto"/>
          </w:tcPr>
          <w:p w14:paraId="3C02D709" w14:textId="77777777" w:rsidR="008607AC" w:rsidRPr="00683F32" w:rsidRDefault="008607AC" w:rsidP="008607AC">
            <w:pPr>
              <w:rPr>
                <w:sz w:val="22"/>
                <w:szCs w:val="22"/>
              </w:rPr>
            </w:pPr>
            <w:r>
              <w:rPr>
                <w:sz w:val="22"/>
                <w:szCs w:val="22"/>
              </w:rPr>
              <w:t>Brazil(P)</w:t>
            </w:r>
          </w:p>
        </w:tc>
        <w:tc>
          <w:tcPr>
            <w:tcW w:w="0" w:type="auto"/>
          </w:tcPr>
          <w:p w14:paraId="54005500" w14:textId="77777777" w:rsidR="008607AC" w:rsidRPr="00683F32" w:rsidRDefault="008607AC" w:rsidP="008607AC">
            <w:pPr>
              <w:rPr>
                <w:sz w:val="22"/>
                <w:szCs w:val="22"/>
              </w:rPr>
            </w:pPr>
            <w:r>
              <w:rPr>
                <w:sz w:val="22"/>
                <w:szCs w:val="22"/>
              </w:rPr>
              <w:t>Iceland(P)*</w:t>
            </w:r>
          </w:p>
        </w:tc>
        <w:tc>
          <w:tcPr>
            <w:tcW w:w="1632" w:type="dxa"/>
          </w:tcPr>
          <w:p w14:paraId="2BC9CDF3" w14:textId="77777777" w:rsidR="008607AC" w:rsidRPr="00683F32" w:rsidRDefault="008607AC" w:rsidP="008607AC">
            <w:pPr>
              <w:rPr>
                <w:sz w:val="22"/>
                <w:szCs w:val="22"/>
              </w:rPr>
            </w:pPr>
            <w:r>
              <w:rPr>
                <w:sz w:val="22"/>
                <w:szCs w:val="22"/>
              </w:rPr>
              <w:t>Jamaica(P)</w:t>
            </w:r>
          </w:p>
        </w:tc>
        <w:tc>
          <w:tcPr>
            <w:tcW w:w="1991" w:type="dxa"/>
          </w:tcPr>
          <w:p w14:paraId="77EE9ACC" w14:textId="77777777" w:rsidR="008607AC" w:rsidRPr="00683F32" w:rsidRDefault="008607AC" w:rsidP="008607AC">
            <w:pPr>
              <w:rPr>
                <w:sz w:val="22"/>
                <w:szCs w:val="22"/>
              </w:rPr>
            </w:pPr>
            <w:r>
              <w:rPr>
                <w:sz w:val="22"/>
                <w:szCs w:val="22"/>
              </w:rPr>
              <w:t>Malaysia(P)</w:t>
            </w:r>
          </w:p>
        </w:tc>
      </w:tr>
      <w:tr w:rsidR="008607AC" w14:paraId="15FBE4E4" w14:textId="77777777" w:rsidTr="008607AC">
        <w:trPr>
          <w:trHeight w:val="207"/>
        </w:trPr>
        <w:tc>
          <w:tcPr>
            <w:tcW w:w="0" w:type="auto"/>
          </w:tcPr>
          <w:p w14:paraId="274EBD82" w14:textId="77777777" w:rsidR="008607AC" w:rsidRDefault="008607AC" w:rsidP="008607AC">
            <w:pPr>
              <w:rPr>
                <w:sz w:val="22"/>
                <w:szCs w:val="22"/>
              </w:rPr>
            </w:pPr>
            <w:r>
              <w:rPr>
                <w:sz w:val="22"/>
                <w:szCs w:val="22"/>
              </w:rPr>
              <w:t>1974</w:t>
            </w:r>
          </w:p>
        </w:tc>
        <w:tc>
          <w:tcPr>
            <w:tcW w:w="1938" w:type="dxa"/>
          </w:tcPr>
          <w:p w14:paraId="12C8E052" w14:textId="77777777" w:rsidR="008607AC" w:rsidRDefault="008607AC" w:rsidP="008607AC">
            <w:pPr>
              <w:rPr>
                <w:sz w:val="22"/>
                <w:szCs w:val="22"/>
              </w:rPr>
            </w:pPr>
            <w:r>
              <w:rPr>
                <w:sz w:val="22"/>
                <w:szCs w:val="22"/>
              </w:rPr>
              <w:t>Cameroon(P)</w:t>
            </w:r>
          </w:p>
        </w:tc>
        <w:tc>
          <w:tcPr>
            <w:tcW w:w="0" w:type="auto"/>
          </w:tcPr>
          <w:p w14:paraId="3F527731" w14:textId="77777777" w:rsidR="008607AC" w:rsidRDefault="008607AC" w:rsidP="008607AC">
            <w:pPr>
              <w:rPr>
                <w:sz w:val="22"/>
                <w:szCs w:val="22"/>
              </w:rPr>
            </w:pPr>
            <w:r>
              <w:rPr>
                <w:sz w:val="22"/>
                <w:szCs w:val="22"/>
              </w:rPr>
              <w:t>Chile(P)</w:t>
            </w:r>
          </w:p>
        </w:tc>
        <w:tc>
          <w:tcPr>
            <w:tcW w:w="0" w:type="auto"/>
          </w:tcPr>
          <w:p w14:paraId="59B35EA1" w14:textId="77777777" w:rsidR="008607AC" w:rsidRDefault="008607AC" w:rsidP="008607AC">
            <w:pPr>
              <w:rPr>
                <w:sz w:val="22"/>
                <w:szCs w:val="22"/>
              </w:rPr>
            </w:pPr>
            <w:r>
              <w:rPr>
                <w:sz w:val="22"/>
                <w:szCs w:val="22"/>
              </w:rPr>
              <w:t>Colombia(R)</w:t>
            </w:r>
          </w:p>
        </w:tc>
        <w:tc>
          <w:tcPr>
            <w:tcW w:w="1632" w:type="dxa"/>
          </w:tcPr>
          <w:p w14:paraId="5142196F" w14:textId="77777777" w:rsidR="008607AC" w:rsidRDefault="008607AC" w:rsidP="008607AC">
            <w:pPr>
              <w:rPr>
                <w:sz w:val="22"/>
                <w:szCs w:val="22"/>
              </w:rPr>
            </w:pPr>
            <w:r>
              <w:rPr>
                <w:sz w:val="22"/>
                <w:szCs w:val="22"/>
              </w:rPr>
              <w:t>Nigeria(P)</w:t>
            </w:r>
          </w:p>
        </w:tc>
        <w:tc>
          <w:tcPr>
            <w:tcW w:w="1991" w:type="dxa"/>
          </w:tcPr>
          <w:p w14:paraId="6FD69415" w14:textId="77777777" w:rsidR="008607AC" w:rsidRDefault="008607AC" w:rsidP="008607AC">
            <w:pPr>
              <w:rPr>
                <w:sz w:val="22"/>
                <w:szCs w:val="22"/>
              </w:rPr>
            </w:pPr>
            <w:r>
              <w:rPr>
                <w:sz w:val="22"/>
                <w:szCs w:val="22"/>
              </w:rPr>
              <w:t>Panama(R)</w:t>
            </w:r>
          </w:p>
        </w:tc>
      </w:tr>
      <w:tr w:rsidR="008607AC" w14:paraId="0D4D421D" w14:textId="77777777" w:rsidTr="008607AC">
        <w:tc>
          <w:tcPr>
            <w:tcW w:w="0" w:type="auto"/>
          </w:tcPr>
          <w:p w14:paraId="7B88AAA8" w14:textId="77777777" w:rsidR="008607AC" w:rsidRDefault="008607AC" w:rsidP="008607AC">
            <w:pPr>
              <w:rPr>
                <w:sz w:val="22"/>
                <w:szCs w:val="22"/>
              </w:rPr>
            </w:pPr>
          </w:p>
        </w:tc>
        <w:tc>
          <w:tcPr>
            <w:tcW w:w="1938" w:type="dxa"/>
          </w:tcPr>
          <w:p w14:paraId="4507F933" w14:textId="77777777" w:rsidR="008607AC" w:rsidRDefault="008607AC" w:rsidP="008607AC">
            <w:pPr>
              <w:rPr>
                <w:sz w:val="22"/>
                <w:szCs w:val="22"/>
              </w:rPr>
            </w:pPr>
            <w:r>
              <w:rPr>
                <w:sz w:val="22"/>
                <w:szCs w:val="22"/>
              </w:rPr>
              <w:t>South Africa(P)</w:t>
            </w:r>
          </w:p>
        </w:tc>
        <w:tc>
          <w:tcPr>
            <w:tcW w:w="0" w:type="auto"/>
          </w:tcPr>
          <w:p w14:paraId="5DEFF144" w14:textId="77777777" w:rsidR="008607AC" w:rsidRDefault="008607AC" w:rsidP="008607AC">
            <w:pPr>
              <w:rPr>
                <w:sz w:val="22"/>
                <w:szCs w:val="22"/>
              </w:rPr>
            </w:pPr>
          </w:p>
        </w:tc>
        <w:tc>
          <w:tcPr>
            <w:tcW w:w="0" w:type="auto"/>
          </w:tcPr>
          <w:p w14:paraId="5907B271" w14:textId="77777777" w:rsidR="008607AC" w:rsidRDefault="008607AC" w:rsidP="008607AC">
            <w:pPr>
              <w:rPr>
                <w:sz w:val="22"/>
                <w:szCs w:val="22"/>
              </w:rPr>
            </w:pPr>
          </w:p>
        </w:tc>
        <w:tc>
          <w:tcPr>
            <w:tcW w:w="1632" w:type="dxa"/>
          </w:tcPr>
          <w:p w14:paraId="175572BE" w14:textId="77777777" w:rsidR="008607AC" w:rsidRDefault="008607AC" w:rsidP="008607AC">
            <w:pPr>
              <w:rPr>
                <w:sz w:val="22"/>
                <w:szCs w:val="22"/>
              </w:rPr>
            </w:pPr>
          </w:p>
        </w:tc>
        <w:tc>
          <w:tcPr>
            <w:tcW w:w="1991" w:type="dxa"/>
          </w:tcPr>
          <w:p w14:paraId="441FA6C2" w14:textId="77777777" w:rsidR="008607AC" w:rsidRDefault="008607AC" w:rsidP="008607AC">
            <w:pPr>
              <w:rPr>
                <w:sz w:val="22"/>
                <w:szCs w:val="22"/>
              </w:rPr>
            </w:pPr>
          </w:p>
        </w:tc>
      </w:tr>
      <w:tr w:rsidR="008607AC" w14:paraId="6623350E" w14:textId="77777777" w:rsidTr="008607AC">
        <w:tc>
          <w:tcPr>
            <w:tcW w:w="0" w:type="auto"/>
          </w:tcPr>
          <w:p w14:paraId="67EDF9A5" w14:textId="77777777" w:rsidR="008607AC" w:rsidRDefault="008607AC" w:rsidP="008607AC">
            <w:pPr>
              <w:rPr>
                <w:sz w:val="22"/>
                <w:szCs w:val="22"/>
              </w:rPr>
            </w:pPr>
            <w:r>
              <w:rPr>
                <w:sz w:val="22"/>
                <w:szCs w:val="22"/>
              </w:rPr>
              <w:t>1975</w:t>
            </w:r>
          </w:p>
        </w:tc>
        <w:tc>
          <w:tcPr>
            <w:tcW w:w="1938" w:type="dxa"/>
          </w:tcPr>
          <w:p w14:paraId="2F8F281A" w14:textId="77777777" w:rsidR="008607AC" w:rsidRDefault="008607AC" w:rsidP="008607AC">
            <w:pPr>
              <w:rPr>
                <w:sz w:val="22"/>
                <w:szCs w:val="22"/>
              </w:rPr>
            </w:pPr>
            <w:r>
              <w:rPr>
                <w:sz w:val="22"/>
                <w:szCs w:val="22"/>
              </w:rPr>
              <w:t>Barbados(P)</w:t>
            </w:r>
          </w:p>
        </w:tc>
        <w:tc>
          <w:tcPr>
            <w:tcW w:w="0" w:type="auto"/>
          </w:tcPr>
          <w:p w14:paraId="22023C46" w14:textId="77777777" w:rsidR="008607AC" w:rsidRDefault="008607AC" w:rsidP="008607AC">
            <w:pPr>
              <w:rPr>
                <w:sz w:val="22"/>
                <w:szCs w:val="22"/>
              </w:rPr>
            </w:pPr>
            <w:r>
              <w:rPr>
                <w:sz w:val="22"/>
                <w:szCs w:val="22"/>
              </w:rPr>
              <w:t>Honduras(P)</w:t>
            </w:r>
          </w:p>
        </w:tc>
        <w:tc>
          <w:tcPr>
            <w:tcW w:w="0" w:type="auto"/>
          </w:tcPr>
          <w:p w14:paraId="4ACF0034" w14:textId="77777777" w:rsidR="008607AC" w:rsidRDefault="008607AC" w:rsidP="008607AC">
            <w:pPr>
              <w:rPr>
                <w:sz w:val="22"/>
                <w:szCs w:val="22"/>
              </w:rPr>
            </w:pPr>
            <w:r>
              <w:rPr>
                <w:sz w:val="22"/>
                <w:szCs w:val="22"/>
              </w:rPr>
              <w:t>Indonesia(P)</w:t>
            </w:r>
          </w:p>
        </w:tc>
        <w:tc>
          <w:tcPr>
            <w:tcW w:w="1632" w:type="dxa"/>
          </w:tcPr>
          <w:p w14:paraId="02479C44" w14:textId="77777777" w:rsidR="008607AC" w:rsidRDefault="008607AC" w:rsidP="008607AC">
            <w:pPr>
              <w:rPr>
                <w:sz w:val="22"/>
                <w:szCs w:val="22"/>
              </w:rPr>
            </w:pPr>
            <w:r>
              <w:rPr>
                <w:sz w:val="22"/>
                <w:szCs w:val="22"/>
              </w:rPr>
              <w:t>Korea Rep(P)</w:t>
            </w:r>
          </w:p>
        </w:tc>
        <w:tc>
          <w:tcPr>
            <w:tcW w:w="1991" w:type="dxa"/>
          </w:tcPr>
          <w:p w14:paraId="10429A39" w14:textId="77777777" w:rsidR="008607AC" w:rsidRDefault="008607AC" w:rsidP="008607AC">
            <w:pPr>
              <w:rPr>
                <w:sz w:val="22"/>
                <w:szCs w:val="22"/>
              </w:rPr>
            </w:pPr>
            <w:r>
              <w:rPr>
                <w:sz w:val="22"/>
                <w:szCs w:val="22"/>
              </w:rPr>
              <w:t>Peru(P)</w:t>
            </w:r>
          </w:p>
        </w:tc>
      </w:tr>
      <w:tr w:rsidR="008607AC" w14:paraId="64AFD10C" w14:textId="77777777" w:rsidTr="008607AC">
        <w:tc>
          <w:tcPr>
            <w:tcW w:w="0" w:type="auto"/>
          </w:tcPr>
          <w:p w14:paraId="6FB73B57" w14:textId="77777777" w:rsidR="008607AC" w:rsidRDefault="008607AC" w:rsidP="008607AC">
            <w:pPr>
              <w:rPr>
                <w:sz w:val="22"/>
                <w:szCs w:val="22"/>
              </w:rPr>
            </w:pPr>
          </w:p>
        </w:tc>
        <w:tc>
          <w:tcPr>
            <w:tcW w:w="1938" w:type="dxa"/>
          </w:tcPr>
          <w:p w14:paraId="636C6FF7" w14:textId="77777777" w:rsidR="008607AC" w:rsidRDefault="008607AC" w:rsidP="008607AC">
            <w:pPr>
              <w:rPr>
                <w:sz w:val="22"/>
                <w:szCs w:val="22"/>
              </w:rPr>
            </w:pPr>
            <w:r>
              <w:rPr>
                <w:sz w:val="22"/>
                <w:szCs w:val="22"/>
              </w:rPr>
              <w:t>Thailand(P)</w:t>
            </w:r>
          </w:p>
        </w:tc>
        <w:tc>
          <w:tcPr>
            <w:tcW w:w="0" w:type="auto"/>
          </w:tcPr>
          <w:p w14:paraId="52103E35" w14:textId="77777777" w:rsidR="008607AC" w:rsidRDefault="008607AC" w:rsidP="008607AC">
            <w:pPr>
              <w:rPr>
                <w:sz w:val="22"/>
                <w:szCs w:val="22"/>
              </w:rPr>
            </w:pPr>
          </w:p>
        </w:tc>
        <w:tc>
          <w:tcPr>
            <w:tcW w:w="0" w:type="auto"/>
          </w:tcPr>
          <w:p w14:paraId="542F4B2C" w14:textId="77777777" w:rsidR="008607AC" w:rsidRDefault="008607AC" w:rsidP="008607AC">
            <w:pPr>
              <w:rPr>
                <w:sz w:val="22"/>
                <w:szCs w:val="22"/>
              </w:rPr>
            </w:pPr>
          </w:p>
        </w:tc>
        <w:tc>
          <w:tcPr>
            <w:tcW w:w="1632" w:type="dxa"/>
          </w:tcPr>
          <w:p w14:paraId="3563C19C" w14:textId="77777777" w:rsidR="008607AC" w:rsidRDefault="008607AC" w:rsidP="008607AC">
            <w:pPr>
              <w:rPr>
                <w:sz w:val="22"/>
                <w:szCs w:val="22"/>
              </w:rPr>
            </w:pPr>
          </w:p>
        </w:tc>
        <w:tc>
          <w:tcPr>
            <w:tcW w:w="1991" w:type="dxa"/>
          </w:tcPr>
          <w:p w14:paraId="4F07435B" w14:textId="77777777" w:rsidR="008607AC" w:rsidRDefault="008607AC" w:rsidP="008607AC">
            <w:pPr>
              <w:rPr>
                <w:sz w:val="22"/>
                <w:szCs w:val="22"/>
              </w:rPr>
            </w:pPr>
          </w:p>
        </w:tc>
      </w:tr>
      <w:tr w:rsidR="008607AC" w14:paraId="0A057E9B" w14:textId="77777777" w:rsidTr="008607AC">
        <w:tc>
          <w:tcPr>
            <w:tcW w:w="0" w:type="auto"/>
          </w:tcPr>
          <w:p w14:paraId="47F3B524" w14:textId="77777777" w:rsidR="008607AC" w:rsidRPr="00683F32" w:rsidRDefault="008607AC" w:rsidP="008607AC">
            <w:pPr>
              <w:rPr>
                <w:sz w:val="22"/>
                <w:szCs w:val="22"/>
              </w:rPr>
            </w:pPr>
            <w:r>
              <w:rPr>
                <w:sz w:val="22"/>
                <w:szCs w:val="22"/>
              </w:rPr>
              <w:t>1976</w:t>
            </w:r>
          </w:p>
        </w:tc>
        <w:tc>
          <w:tcPr>
            <w:tcW w:w="1938" w:type="dxa"/>
          </w:tcPr>
          <w:p w14:paraId="6B79029D" w14:textId="77777777" w:rsidR="008607AC" w:rsidRDefault="008607AC" w:rsidP="008607AC">
            <w:pPr>
              <w:rPr>
                <w:sz w:val="22"/>
                <w:szCs w:val="22"/>
              </w:rPr>
            </w:pPr>
            <w:r>
              <w:rPr>
                <w:sz w:val="22"/>
                <w:szCs w:val="22"/>
              </w:rPr>
              <w:t>Argentina(P)</w:t>
            </w:r>
          </w:p>
        </w:tc>
        <w:tc>
          <w:tcPr>
            <w:tcW w:w="0" w:type="auto"/>
          </w:tcPr>
          <w:p w14:paraId="1C662764" w14:textId="77777777" w:rsidR="008607AC" w:rsidRPr="00683F32" w:rsidRDefault="008607AC" w:rsidP="008607AC">
            <w:pPr>
              <w:rPr>
                <w:sz w:val="22"/>
                <w:szCs w:val="22"/>
              </w:rPr>
            </w:pPr>
            <w:r>
              <w:rPr>
                <w:sz w:val="22"/>
                <w:szCs w:val="22"/>
              </w:rPr>
              <w:t>Benin(P)</w:t>
            </w:r>
          </w:p>
        </w:tc>
        <w:tc>
          <w:tcPr>
            <w:tcW w:w="0" w:type="auto"/>
          </w:tcPr>
          <w:p w14:paraId="1601DF9A" w14:textId="77777777" w:rsidR="008607AC" w:rsidRPr="00683F32" w:rsidRDefault="008607AC" w:rsidP="008607AC">
            <w:pPr>
              <w:rPr>
                <w:sz w:val="22"/>
                <w:szCs w:val="22"/>
              </w:rPr>
            </w:pPr>
            <w:r>
              <w:rPr>
                <w:sz w:val="22"/>
                <w:szCs w:val="22"/>
              </w:rPr>
              <w:t>Kenya(P)</w:t>
            </w:r>
          </w:p>
        </w:tc>
        <w:tc>
          <w:tcPr>
            <w:tcW w:w="1632" w:type="dxa"/>
          </w:tcPr>
          <w:p w14:paraId="60EBDA3B" w14:textId="77777777" w:rsidR="008607AC" w:rsidRPr="00683F32" w:rsidRDefault="008607AC" w:rsidP="008607AC">
            <w:pPr>
              <w:rPr>
                <w:sz w:val="22"/>
                <w:szCs w:val="22"/>
              </w:rPr>
            </w:pPr>
            <w:r>
              <w:rPr>
                <w:sz w:val="22"/>
                <w:szCs w:val="22"/>
              </w:rPr>
              <w:t>Mexico(P)</w:t>
            </w:r>
          </w:p>
        </w:tc>
        <w:tc>
          <w:tcPr>
            <w:tcW w:w="1991" w:type="dxa"/>
          </w:tcPr>
          <w:p w14:paraId="531FE79E" w14:textId="77777777" w:rsidR="008607AC" w:rsidRPr="00683F32" w:rsidRDefault="008607AC" w:rsidP="008607AC">
            <w:pPr>
              <w:rPr>
                <w:sz w:val="22"/>
                <w:szCs w:val="22"/>
              </w:rPr>
            </w:pPr>
            <w:r>
              <w:rPr>
                <w:sz w:val="22"/>
                <w:szCs w:val="22"/>
              </w:rPr>
              <w:t>N. Caledonia(P)</w:t>
            </w:r>
          </w:p>
        </w:tc>
      </w:tr>
      <w:tr w:rsidR="008607AC" w14:paraId="1F3DD3E0" w14:textId="77777777" w:rsidTr="008607AC">
        <w:tc>
          <w:tcPr>
            <w:tcW w:w="0" w:type="auto"/>
          </w:tcPr>
          <w:p w14:paraId="0FD6AA7F" w14:textId="77777777" w:rsidR="008607AC" w:rsidRPr="00683F32" w:rsidRDefault="008607AC" w:rsidP="008607AC">
            <w:pPr>
              <w:rPr>
                <w:sz w:val="22"/>
                <w:szCs w:val="22"/>
              </w:rPr>
            </w:pPr>
          </w:p>
        </w:tc>
        <w:tc>
          <w:tcPr>
            <w:tcW w:w="1938" w:type="dxa"/>
          </w:tcPr>
          <w:p w14:paraId="395787BA" w14:textId="77777777" w:rsidR="008607AC" w:rsidRDefault="008607AC" w:rsidP="008607AC">
            <w:pPr>
              <w:rPr>
                <w:sz w:val="22"/>
                <w:szCs w:val="22"/>
              </w:rPr>
            </w:pPr>
            <w:r>
              <w:rPr>
                <w:sz w:val="22"/>
                <w:szCs w:val="22"/>
              </w:rPr>
              <w:t>Saudi Arabia(P)</w:t>
            </w:r>
          </w:p>
        </w:tc>
        <w:tc>
          <w:tcPr>
            <w:tcW w:w="0" w:type="auto"/>
          </w:tcPr>
          <w:p w14:paraId="6DFED03F" w14:textId="77777777" w:rsidR="008607AC" w:rsidRPr="00683F32" w:rsidRDefault="008607AC" w:rsidP="008607AC">
            <w:pPr>
              <w:ind w:left="150" w:hanging="150"/>
              <w:rPr>
                <w:sz w:val="22"/>
                <w:szCs w:val="22"/>
              </w:rPr>
            </w:pPr>
            <w:r>
              <w:rPr>
                <w:sz w:val="22"/>
                <w:szCs w:val="22"/>
              </w:rPr>
              <w:t>UAE(P)</w:t>
            </w:r>
          </w:p>
        </w:tc>
        <w:tc>
          <w:tcPr>
            <w:tcW w:w="0" w:type="auto"/>
          </w:tcPr>
          <w:p w14:paraId="6387ED62" w14:textId="77777777" w:rsidR="008607AC" w:rsidRPr="00683F32" w:rsidRDefault="008607AC" w:rsidP="008607AC">
            <w:pPr>
              <w:rPr>
                <w:sz w:val="22"/>
                <w:szCs w:val="22"/>
              </w:rPr>
            </w:pPr>
          </w:p>
        </w:tc>
        <w:tc>
          <w:tcPr>
            <w:tcW w:w="1632" w:type="dxa"/>
          </w:tcPr>
          <w:p w14:paraId="70AAA30A" w14:textId="77777777" w:rsidR="008607AC" w:rsidRPr="00683F32" w:rsidRDefault="008607AC" w:rsidP="008607AC">
            <w:pPr>
              <w:rPr>
                <w:sz w:val="22"/>
                <w:szCs w:val="22"/>
              </w:rPr>
            </w:pPr>
          </w:p>
        </w:tc>
        <w:tc>
          <w:tcPr>
            <w:tcW w:w="1991" w:type="dxa"/>
          </w:tcPr>
          <w:p w14:paraId="5D3D99B0" w14:textId="77777777" w:rsidR="008607AC" w:rsidRPr="00683F32" w:rsidRDefault="008607AC" w:rsidP="008607AC">
            <w:pPr>
              <w:rPr>
                <w:sz w:val="22"/>
                <w:szCs w:val="22"/>
              </w:rPr>
            </w:pPr>
          </w:p>
        </w:tc>
      </w:tr>
      <w:tr w:rsidR="008607AC" w14:paraId="2F7B7B94" w14:textId="77777777" w:rsidTr="008607AC">
        <w:tc>
          <w:tcPr>
            <w:tcW w:w="0" w:type="auto"/>
          </w:tcPr>
          <w:p w14:paraId="21F5F12C" w14:textId="77777777" w:rsidR="008607AC" w:rsidRPr="00683F32" w:rsidRDefault="008607AC" w:rsidP="008607AC">
            <w:pPr>
              <w:rPr>
                <w:sz w:val="22"/>
                <w:szCs w:val="22"/>
              </w:rPr>
            </w:pPr>
            <w:r>
              <w:rPr>
                <w:sz w:val="22"/>
                <w:szCs w:val="22"/>
              </w:rPr>
              <w:t>1977</w:t>
            </w:r>
          </w:p>
        </w:tc>
        <w:tc>
          <w:tcPr>
            <w:tcW w:w="1938" w:type="dxa"/>
          </w:tcPr>
          <w:p w14:paraId="7331F2AF" w14:textId="77777777" w:rsidR="008607AC" w:rsidRPr="00683F32" w:rsidRDefault="008607AC" w:rsidP="008607AC">
            <w:pPr>
              <w:rPr>
                <w:sz w:val="22"/>
                <w:szCs w:val="22"/>
              </w:rPr>
            </w:pPr>
            <w:r>
              <w:rPr>
                <w:sz w:val="22"/>
                <w:szCs w:val="22"/>
              </w:rPr>
              <w:t>Bahrain(P)</w:t>
            </w:r>
          </w:p>
        </w:tc>
        <w:tc>
          <w:tcPr>
            <w:tcW w:w="0" w:type="auto"/>
          </w:tcPr>
          <w:p w14:paraId="5E380B46" w14:textId="77777777" w:rsidR="008607AC" w:rsidRPr="00683F32" w:rsidRDefault="008607AC" w:rsidP="008607AC">
            <w:pPr>
              <w:rPr>
                <w:sz w:val="22"/>
                <w:szCs w:val="22"/>
              </w:rPr>
            </w:pPr>
            <w:r>
              <w:rPr>
                <w:sz w:val="22"/>
                <w:szCs w:val="22"/>
              </w:rPr>
              <w:t>Cyprus(P)</w:t>
            </w:r>
          </w:p>
        </w:tc>
        <w:tc>
          <w:tcPr>
            <w:tcW w:w="0" w:type="auto"/>
          </w:tcPr>
          <w:p w14:paraId="27156542" w14:textId="77777777" w:rsidR="008607AC" w:rsidRPr="00683F32" w:rsidRDefault="008607AC" w:rsidP="008607AC">
            <w:pPr>
              <w:rPr>
                <w:sz w:val="22"/>
                <w:szCs w:val="22"/>
              </w:rPr>
            </w:pPr>
            <w:r>
              <w:rPr>
                <w:sz w:val="22"/>
                <w:szCs w:val="22"/>
              </w:rPr>
              <w:t>Ghana(P)</w:t>
            </w:r>
          </w:p>
        </w:tc>
        <w:tc>
          <w:tcPr>
            <w:tcW w:w="1632" w:type="dxa"/>
          </w:tcPr>
          <w:p w14:paraId="7ADA4CDF" w14:textId="77777777" w:rsidR="008607AC" w:rsidRPr="00683F32" w:rsidRDefault="008607AC" w:rsidP="008607AC">
            <w:pPr>
              <w:rPr>
                <w:sz w:val="22"/>
                <w:szCs w:val="22"/>
              </w:rPr>
            </w:pPr>
            <w:r>
              <w:rPr>
                <w:sz w:val="22"/>
                <w:szCs w:val="22"/>
              </w:rPr>
              <w:t>Iran(P)</w:t>
            </w:r>
          </w:p>
        </w:tc>
        <w:tc>
          <w:tcPr>
            <w:tcW w:w="1991" w:type="dxa"/>
          </w:tcPr>
          <w:p w14:paraId="23C3F42F" w14:textId="77777777" w:rsidR="008607AC" w:rsidRPr="00683F32" w:rsidRDefault="008607AC" w:rsidP="008607AC">
            <w:pPr>
              <w:rPr>
                <w:sz w:val="22"/>
                <w:szCs w:val="22"/>
              </w:rPr>
            </w:pPr>
            <w:r>
              <w:rPr>
                <w:sz w:val="22"/>
                <w:szCs w:val="22"/>
              </w:rPr>
              <w:t>Jordan(P)</w:t>
            </w:r>
          </w:p>
        </w:tc>
      </w:tr>
      <w:tr w:rsidR="008607AC" w14:paraId="1C6C624B" w14:textId="77777777" w:rsidTr="008607AC">
        <w:tc>
          <w:tcPr>
            <w:tcW w:w="0" w:type="auto"/>
          </w:tcPr>
          <w:p w14:paraId="2F40A1B3" w14:textId="77777777" w:rsidR="008607AC" w:rsidRDefault="008607AC" w:rsidP="008607AC">
            <w:pPr>
              <w:rPr>
                <w:sz w:val="22"/>
                <w:szCs w:val="22"/>
              </w:rPr>
            </w:pPr>
          </w:p>
        </w:tc>
        <w:tc>
          <w:tcPr>
            <w:tcW w:w="1938" w:type="dxa"/>
          </w:tcPr>
          <w:p w14:paraId="5D882E10" w14:textId="77777777" w:rsidR="008607AC" w:rsidRDefault="008607AC" w:rsidP="008607AC">
            <w:pPr>
              <w:rPr>
                <w:sz w:val="22"/>
                <w:szCs w:val="22"/>
              </w:rPr>
            </w:pPr>
            <w:r>
              <w:rPr>
                <w:sz w:val="22"/>
                <w:szCs w:val="22"/>
              </w:rPr>
              <w:t>Kuwait(P)</w:t>
            </w:r>
          </w:p>
        </w:tc>
        <w:tc>
          <w:tcPr>
            <w:tcW w:w="0" w:type="auto"/>
          </w:tcPr>
          <w:p w14:paraId="4C5BF414" w14:textId="77777777" w:rsidR="008607AC" w:rsidRDefault="008607AC" w:rsidP="008607AC">
            <w:pPr>
              <w:rPr>
                <w:sz w:val="22"/>
                <w:szCs w:val="22"/>
              </w:rPr>
            </w:pPr>
            <w:r>
              <w:rPr>
                <w:sz w:val="22"/>
                <w:szCs w:val="22"/>
              </w:rPr>
              <w:t>Lebanon(P)</w:t>
            </w:r>
          </w:p>
        </w:tc>
        <w:tc>
          <w:tcPr>
            <w:tcW w:w="0" w:type="auto"/>
          </w:tcPr>
          <w:p w14:paraId="7EAF7C0D" w14:textId="77777777" w:rsidR="008607AC" w:rsidRDefault="008607AC" w:rsidP="008607AC">
            <w:pPr>
              <w:rPr>
                <w:sz w:val="22"/>
                <w:szCs w:val="22"/>
              </w:rPr>
            </w:pPr>
            <w:r>
              <w:rPr>
                <w:sz w:val="22"/>
                <w:szCs w:val="22"/>
              </w:rPr>
              <w:t>Morocco(P)</w:t>
            </w:r>
          </w:p>
        </w:tc>
        <w:tc>
          <w:tcPr>
            <w:tcW w:w="1632" w:type="dxa"/>
          </w:tcPr>
          <w:p w14:paraId="2D37084B" w14:textId="77777777" w:rsidR="008607AC" w:rsidRDefault="008607AC" w:rsidP="008607AC">
            <w:pPr>
              <w:rPr>
                <w:sz w:val="22"/>
                <w:szCs w:val="22"/>
              </w:rPr>
            </w:pPr>
          </w:p>
        </w:tc>
        <w:tc>
          <w:tcPr>
            <w:tcW w:w="1991" w:type="dxa"/>
          </w:tcPr>
          <w:p w14:paraId="3345EB9B" w14:textId="77777777" w:rsidR="008607AC" w:rsidRDefault="008607AC" w:rsidP="008607AC">
            <w:pPr>
              <w:rPr>
                <w:sz w:val="22"/>
                <w:szCs w:val="22"/>
              </w:rPr>
            </w:pPr>
          </w:p>
        </w:tc>
      </w:tr>
      <w:tr w:rsidR="008607AC" w14:paraId="59E3AE07" w14:textId="77777777" w:rsidTr="008607AC">
        <w:tc>
          <w:tcPr>
            <w:tcW w:w="0" w:type="auto"/>
          </w:tcPr>
          <w:p w14:paraId="05038794" w14:textId="77777777" w:rsidR="008607AC" w:rsidRDefault="008607AC" w:rsidP="008607AC">
            <w:pPr>
              <w:rPr>
                <w:sz w:val="22"/>
                <w:szCs w:val="22"/>
              </w:rPr>
            </w:pPr>
            <w:r>
              <w:rPr>
                <w:sz w:val="22"/>
                <w:szCs w:val="22"/>
              </w:rPr>
              <w:t>1978</w:t>
            </w:r>
          </w:p>
        </w:tc>
        <w:tc>
          <w:tcPr>
            <w:tcW w:w="1938" w:type="dxa"/>
          </w:tcPr>
          <w:p w14:paraId="7374F24F" w14:textId="77777777" w:rsidR="008607AC" w:rsidRDefault="008607AC" w:rsidP="008607AC">
            <w:pPr>
              <w:rPr>
                <w:sz w:val="22"/>
                <w:szCs w:val="22"/>
              </w:rPr>
            </w:pPr>
            <w:r>
              <w:rPr>
                <w:sz w:val="22"/>
                <w:szCs w:val="22"/>
              </w:rPr>
              <w:t>Ecuador(P)</w:t>
            </w:r>
          </w:p>
        </w:tc>
        <w:tc>
          <w:tcPr>
            <w:tcW w:w="0" w:type="auto"/>
          </w:tcPr>
          <w:p w14:paraId="6880ADB8" w14:textId="77777777" w:rsidR="008607AC" w:rsidRDefault="008607AC" w:rsidP="008607AC">
            <w:pPr>
              <w:rPr>
                <w:sz w:val="22"/>
                <w:szCs w:val="22"/>
              </w:rPr>
            </w:pPr>
            <w:r>
              <w:rPr>
                <w:sz w:val="22"/>
                <w:szCs w:val="22"/>
              </w:rPr>
              <w:t>Egypt(P)</w:t>
            </w:r>
          </w:p>
        </w:tc>
        <w:tc>
          <w:tcPr>
            <w:tcW w:w="0" w:type="auto"/>
          </w:tcPr>
          <w:p w14:paraId="2B9550C6" w14:textId="77777777" w:rsidR="008607AC" w:rsidRDefault="008607AC" w:rsidP="008607AC">
            <w:pPr>
              <w:rPr>
                <w:sz w:val="22"/>
                <w:szCs w:val="22"/>
              </w:rPr>
            </w:pPr>
            <w:r>
              <w:rPr>
                <w:sz w:val="22"/>
                <w:szCs w:val="22"/>
              </w:rPr>
              <w:t>Gibraltar(P)</w:t>
            </w:r>
          </w:p>
        </w:tc>
        <w:tc>
          <w:tcPr>
            <w:tcW w:w="1632" w:type="dxa"/>
          </w:tcPr>
          <w:p w14:paraId="1A48891C" w14:textId="77777777" w:rsidR="008607AC" w:rsidRDefault="008607AC" w:rsidP="008607AC">
            <w:pPr>
              <w:rPr>
                <w:sz w:val="22"/>
                <w:szCs w:val="22"/>
              </w:rPr>
            </w:pPr>
            <w:r>
              <w:rPr>
                <w:sz w:val="22"/>
                <w:szCs w:val="22"/>
              </w:rPr>
              <w:t>Haiti(P)</w:t>
            </w:r>
          </w:p>
        </w:tc>
        <w:tc>
          <w:tcPr>
            <w:tcW w:w="1991" w:type="dxa"/>
          </w:tcPr>
          <w:p w14:paraId="6BC0AE18" w14:textId="77777777" w:rsidR="008607AC" w:rsidRDefault="008607AC" w:rsidP="008607AC">
            <w:pPr>
              <w:rPr>
                <w:sz w:val="22"/>
                <w:szCs w:val="22"/>
              </w:rPr>
            </w:pPr>
            <w:r>
              <w:rPr>
                <w:sz w:val="22"/>
                <w:szCs w:val="22"/>
              </w:rPr>
              <w:t>Iraq(P)</w:t>
            </w:r>
          </w:p>
        </w:tc>
      </w:tr>
      <w:tr w:rsidR="008607AC" w14:paraId="13E5C1BB" w14:textId="77777777" w:rsidTr="008607AC">
        <w:tc>
          <w:tcPr>
            <w:tcW w:w="0" w:type="auto"/>
          </w:tcPr>
          <w:p w14:paraId="0E981E2F" w14:textId="77777777" w:rsidR="008607AC" w:rsidRDefault="008607AC" w:rsidP="008607AC">
            <w:pPr>
              <w:rPr>
                <w:sz w:val="22"/>
                <w:szCs w:val="22"/>
              </w:rPr>
            </w:pPr>
          </w:p>
        </w:tc>
        <w:tc>
          <w:tcPr>
            <w:tcW w:w="1938" w:type="dxa"/>
          </w:tcPr>
          <w:p w14:paraId="7CCAAA2B" w14:textId="77777777" w:rsidR="008607AC" w:rsidRDefault="008607AC" w:rsidP="008607AC">
            <w:pPr>
              <w:rPr>
                <w:sz w:val="22"/>
                <w:szCs w:val="22"/>
              </w:rPr>
            </w:pPr>
            <w:r>
              <w:rPr>
                <w:sz w:val="22"/>
                <w:szCs w:val="22"/>
              </w:rPr>
              <w:t>Mozambique(P)</w:t>
            </w:r>
          </w:p>
        </w:tc>
        <w:tc>
          <w:tcPr>
            <w:tcW w:w="0" w:type="auto"/>
          </w:tcPr>
          <w:p w14:paraId="05EF1D33" w14:textId="77777777" w:rsidR="008607AC" w:rsidRDefault="008607AC" w:rsidP="008607AC">
            <w:pPr>
              <w:rPr>
                <w:sz w:val="22"/>
                <w:szCs w:val="22"/>
              </w:rPr>
            </w:pPr>
            <w:r>
              <w:rPr>
                <w:sz w:val="22"/>
                <w:szCs w:val="22"/>
              </w:rPr>
              <w:t>Oman(P)</w:t>
            </w:r>
          </w:p>
        </w:tc>
        <w:tc>
          <w:tcPr>
            <w:tcW w:w="0" w:type="auto"/>
          </w:tcPr>
          <w:p w14:paraId="413FDE75" w14:textId="77777777" w:rsidR="008607AC" w:rsidRDefault="008607AC" w:rsidP="008607AC">
            <w:pPr>
              <w:rPr>
                <w:sz w:val="22"/>
                <w:szCs w:val="22"/>
              </w:rPr>
            </w:pPr>
            <w:r>
              <w:rPr>
                <w:sz w:val="22"/>
                <w:szCs w:val="22"/>
              </w:rPr>
              <w:t>Papua N. Guinea(P)</w:t>
            </w:r>
          </w:p>
        </w:tc>
        <w:tc>
          <w:tcPr>
            <w:tcW w:w="1632" w:type="dxa"/>
          </w:tcPr>
          <w:p w14:paraId="4A45F96F" w14:textId="77777777" w:rsidR="008607AC" w:rsidRDefault="008607AC" w:rsidP="008607AC">
            <w:pPr>
              <w:rPr>
                <w:sz w:val="22"/>
                <w:szCs w:val="22"/>
              </w:rPr>
            </w:pPr>
            <w:r>
              <w:rPr>
                <w:sz w:val="22"/>
                <w:szCs w:val="22"/>
              </w:rPr>
              <w:t>Samoa(P)</w:t>
            </w:r>
          </w:p>
        </w:tc>
        <w:tc>
          <w:tcPr>
            <w:tcW w:w="1991" w:type="dxa"/>
          </w:tcPr>
          <w:p w14:paraId="797EE360" w14:textId="77777777" w:rsidR="008607AC" w:rsidRDefault="008607AC" w:rsidP="008607AC">
            <w:pPr>
              <w:rPr>
                <w:sz w:val="22"/>
                <w:szCs w:val="22"/>
              </w:rPr>
            </w:pPr>
            <w:r>
              <w:rPr>
                <w:sz w:val="22"/>
                <w:szCs w:val="22"/>
              </w:rPr>
              <w:t>Sierra Leone(P)</w:t>
            </w:r>
          </w:p>
        </w:tc>
      </w:tr>
      <w:tr w:rsidR="008607AC" w14:paraId="609BE415" w14:textId="77777777" w:rsidTr="008607AC">
        <w:tc>
          <w:tcPr>
            <w:tcW w:w="0" w:type="auto"/>
          </w:tcPr>
          <w:p w14:paraId="7045CD1E" w14:textId="77777777" w:rsidR="008607AC" w:rsidRDefault="008607AC" w:rsidP="008607AC">
            <w:pPr>
              <w:rPr>
                <w:sz w:val="22"/>
                <w:szCs w:val="22"/>
              </w:rPr>
            </w:pPr>
          </w:p>
        </w:tc>
        <w:tc>
          <w:tcPr>
            <w:tcW w:w="1938" w:type="dxa"/>
          </w:tcPr>
          <w:p w14:paraId="40DADBDA" w14:textId="77777777" w:rsidR="008607AC" w:rsidRDefault="008607AC" w:rsidP="008607AC">
            <w:pPr>
              <w:rPr>
                <w:sz w:val="22"/>
                <w:szCs w:val="22"/>
              </w:rPr>
            </w:pPr>
            <w:r>
              <w:rPr>
                <w:sz w:val="22"/>
                <w:szCs w:val="22"/>
              </w:rPr>
              <w:t>St. Kitts Nevis(P)</w:t>
            </w:r>
          </w:p>
        </w:tc>
        <w:tc>
          <w:tcPr>
            <w:tcW w:w="0" w:type="auto"/>
          </w:tcPr>
          <w:p w14:paraId="27312006" w14:textId="77777777" w:rsidR="008607AC" w:rsidRDefault="008607AC" w:rsidP="008607AC">
            <w:pPr>
              <w:rPr>
                <w:sz w:val="22"/>
                <w:szCs w:val="22"/>
              </w:rPr>
            </w:pPr>
            <w:r>
              <w:rPr>
                <w:sz w:val="22"/>
                <w:szCs w:val="22"/>
              </w:rPr>
              <w:t>Tanzania(P)</w:t>
            </w:r>
          </w:p>
        </w:tc>
        <w:tc>
          <w:tcPr>
            <w:tcW w:w="0" w:type="auto"/>
          </w:tcPr>
          <w:p w14:paraId="22A65A40" w14:textId="77777777" w:rsidR="008607AC" w:rsidRDefault="008607AC" w:rsidP="008607AC">
            <w:pPr>
              <w:rPr>
                <w:sz w:val="22"/>
                <w:szCs w:val="22"/>
              </w:rPr>
            </w:pPr>
          </w:p>
        </w:tc>
        <w:tc>
          <w:tcPr>
            <w:tcW w:w="1632" w:type="dxa"/>
          </w:tcPr>
          <w:p w14:paraId="62E11B72" w14:textId="77777777" w:rsidR="008607AC" w:rsidRDefault="008607AC" w:rsidP="008607AC">
            <w:pPr>
              <w:rPr>
                <w:sz w:val="22"/>
                <w:szCs w:val="22"/>
              </w:rPr>
            </w:pPr>
          </w:p>
        </w:tc>
        <w:tc>
          <w:tcPr>
            <w:tcW w:w="1991" w:type="dxa"/>
          </w:tcPr>
          <w:p w14:paraId="70E6C837" w14:textId="77777777" w:rsidR="008607AC" w:rsidRDefault="008607AC" w:rsidP="008607AC">
            <w:pPr>
              <w:rPr>
                <w:sz w:val="22"/>
                <w:szCs w:val="22"/>
              </w:rPr>
            </w:pPr>
          </w:p>
        </w:tc>
      </w:tr>
      <w:tr w:rsidR="008607AC" w14:paraId="46A06692" w14:textId="77777777" w:rsidTr="008607AC">
        <w:tc>
          <w:tcPr>
            <w:tcW w:w="0" w:type="auto"/>
          </w:tcPr>
          <w:p w14:paraId="5789EE71" w14:textId="77777777" w:rsidR="008607AC" w:rsidRDefault="008607AC" w:rsidP="008607AC">
            <w:pPr>
              <w:rPr>
                <w:sz w:val="22"/>
                <w:szCs w:val="22"/>
              </w:rPr>
            </w:pPr>
            <w:r>
              <w:rPr>
                <w:sz w:val="22"/>
                <w:szCs w:val="22"/>
              </w:rPr>
              <w:t>1979</w:t>
            </w:r>
          </w:p>
        </w:tc>
        <w:tc>
          <w:tcPr>
            <w:tcW w:w="1938" w:type="dxa"/>
          </w:tcPr>
          <w:p w14:paraId="618D45B5" w14:textId="77777777" w:rsidR="008607AC" w:rsidRDefault="008607AC" w:rsidP="008607AC">
            <w:pPr>
              <w:rPr>
                <w:sz w:val="22"/>
                <w:szCs w:val="22"/>
              </w:rPr>
            </w:pPr>
            <w:r>
              <w:rPr>
                <w:sz w:val="22"/>
                <w:szCs w:val="22"/>
              </w:rPr>
              <w:t>Algeria(P)</w:t>
            </w:r>
          </w:p>
        </w:tc>
        <w:tc>
          <w:tcPr>
            <w:tcW w:w="0" w:type="auto"/>
          </w:tcPr>
          <w:p w14:paraId="03B816BC" w14:textId="77777777" w:rsidR="008607AC" w:rsidRDefault="008607AC" w:rsidP="008607AC">
            <w:pPr>
              <w:rPr>
                <w:sz w:val="22"/>
                <w:szCs w:val="22"/>
              </w:rPr>
            </w:pPr>
            <w:r>
              <w:rPr>
                <w:sz w:val="22"/>
                <w:szCs w:val="22"/>
              </w:rPr>
              <w:t>Angola(P)</w:t>
            </w:r>
          </w:p>
        </w:tc>
        <w:tc>
          <w:tcPr>
            <w:tcW w:w="0" w:type="auto"/>
          </w:tcPr>
          <w:p w14:paraId="484CE5F1" w14:textId="77777777" w:rsidR="008607AC" w:rsidRDefault="008607AC" w:rsidP="008607AC">
            <w:pPr>
              <w:rPr>
                <w:sz w:val="22"/>
                <w:szCs w:val="22"/>
              </w:rPr>
            </w:pPr>
            <w:r>
              <w:rPr>
                <w:sz w:val="22"/>
                <w:szCs w:val="22"/>
              </w:rPr>
              <w:t>China(P)</w:t>
            </w:r>
          </w:p>
        </w:tc>
        <w:tc>
          <w:tcPr>
            <w:tcW w:w="1632" w:type="dxa"/>
          </w:tcPr>
          <w:p w14:paraId="491E1881" w14:textId="77777777" w:rsidR="008607AC" w:rsidRDefault="008607AC" w:rsidP="008607AC">
            <w:pPr>
              <w:rPr>
                <w:sz w:val="22"/>
                <w:szCs w:val="22"/>
              </w:rPr>
            </w:pPr>
            <w:r>
              <w:rPr>
                <w:sz w:val="22"/>
                <w:szCs w:val="22"/>
              </w:rPr>
              <w:t>Congo(P)</w:t>
            </w:r>
          </w:p>
        </w:tc>
        <w:tc>
          <w:tcPr>
            <w:tcW w:w="1991" w:type="dxa"/>
          </w:tcPr>
          <w:p w14:paraId="229EF16B" w14:textId="77777777" w:rsidR="008607AC" w:rsidRDefault="008607AC" w:rsidP="008607AC">
            <w:pPr>
              <w:rPr>
                <w:sz w:val="22"/>
                <w:szCs w:val="22"/>
              </w:rPr>
            </w:pPr>
            <w:r>
              <w:rPr>
                <w:sz w:val="22"/>
                <w:szCs w:val="22"/>
              </w:rPr>
              <w:t>Djibouti(P)</w:t>
            </w:r>
          </w:p>
        </w:tc>
      </w:tr>
      <w:tr w:rsidR="008607AC" w14:paraId="631A18B7" w14:textId="77777777" w:rsidTr="008607AC">
        <w:tc>
          <w:tcPr>
            <w:tcW w:w="0" w:type="auto"/>
          </w:tcPr>
          <w:p w14:paraId="128BBA92" w14:textId="77777777" w:rsidR="008607AC" w:rsidRDefault="008607AC" w:rsidP="008607AC">
            <w:pPr>
              <w:rPr>
                <w:sz w:val="22"/>
                <w:szCs w:val="22"/>
              </w:rPr>
            </w:pPr>
          </w:p>
        </w:tc>
        <w:tc>
          <w:tcPr>
            <w:tcW w:w="1938" w:type="dxa"/>
          </w:tcPr>
          <w:p w14:paraId="15812A1D" w14:textId="77777777" w:rsidR="008607AC" w:rsidRDefault="008607AC" w:rsidP="008607AC">
            <w:pPr>
              <w:rPr>
                <w:sz w:val="22"/>
                <w:szCs w:val="22"/>
              </w:rPr>
            </w:pPr>
            <w:r>
              <w:rPr>
                <w:sz w:val="22"/>
                <w:szCs w:val="22"/>
              </w:rPr>
              <w:t>El Salvador(P)</w:t>
            </w:r>
          </w:p>
        </w:tc>
        <w:tc>
          <w:tcPr>
            <w:tcW w:w="0" w:type="auto"/>
          </w:tcPr>
          <w:p w14:paraId="1739616C" w14:textId="77777777" w:rsidR="008607AC" w:rsidRDefault="008607AC" w:rsidP="008607AC">
            <w:pPr>
              <w:rPr>
                <w:sz w:val="22"/>
                <w:szCs w:val="22"/>
              </w:rPr>
            </w:pPr>
            <w:r>
              <w:rPr>
                <w:sz w:val="22"/>
                <w:szCs w:val="22"/>
              </w:rPr>
              <w:t>Mauritius(P)</w:t>
            </w:r>
          </w:p>
        </w:tc>
        <w:tc>
          <w:tcPr>
            <w:tcW w:w="0" w:type="auto"/>
          </w:tcPr>
          <w:p w14:paraId="0F5B1945" w14:textId="77777777" w:rsidR="008607AC" w:rsidRDefault="008607AC" w:rsidP="008607AC">
            <w:pPr>
              <w:rPr>
                <w:sz w:val="22"/>
                <w:szCs w:val="22"/>
              </w:rPr>
            </w:pPr>
            <w:r>
              <w:rPr>
                <w:sz w:val="22"/>
                <w:szCs w:val="22"/>
              </w:rPr>
              <w:t>Neth.Antilles(P)</w:t>
            </w:r>
          </w:p>
        </w:tc>
        <w:tc>
          <w:tcPr>
            <w:tcW w:w="1632" w:type="dxa"/>
          </w:tcPr>
          <w:p w14:paraId="34E525E9" w14:textId="77777777" w:rsidR="008607AC" w:rsidRDefault="008607AC" w:rsidP="008607AC">
            <w:pPr>
              <w:rPr>
                <w:sz w:val="22"/>
                <w:szCs w:val="22"/>
              </w:rPr>
            </w:pPr>
            <w:r>
              <w:rPr>
                <w:sz w:val="22"/>
                <w:szCs w:val="22"/>
              </w:rPr>
              <w:t>Nicaragua(P)</w:t>
            </w:r>
          </w:p>
        </w:tc>
        <w:tc>
          <w:tcPr>
            <w:tcW w:w="1991" w:type="dxa"/>
          </w:tcPr>
          <w:p w14:paraId="55EC3E2D" w14:textId="77777777" w:rsidR="008607AC" w:rsidRDefault="008607AC" w:rsidP="008607AC">
            <w:pPr>
              <w:rPr>
                <w:sz w:val="22"/>
                <w:szCs w:val="22"/>
              </w:rPr>
            </w:pPr>
            <w:r>
              <w:rPr>
                <w:sz w:val="22"/>
                <w:szCs w:val="22"/>
              </w:rPr>
              <w:t>Pakistan(P)</w:t>
            </w:r>
          </w:p>
        </w:tc>
      </w:tr>
      <w:tr w:rsidR="008607AC" w14:paraId="6E397828" w14:textId="77777777" w:rsidTr="008607AC">
        <w:tc>
          <w:tcPr>
            <w:tcW w:w="0" w:type="auto"/>
          </w:tcPr>
          <w:p w14:paraId="7B33128C" w14:textId="77777777" w:rsidR="008607AC" w:rsidRDefault="008607AC" w:rsidP="008607AC">
            <w:pPr>
              <w:rPr>
                <w:sz w:val="22"/>
                <w:szCs w:val="22"/>
              </w:rPr>
            </w:pPr>
          </w:p>
        </w:tc>
        <w:tc>
          <w:tcPr>
            <w:tcW w:w="1938" w:type="dxa"/>
          </w:tcPr>
          <w:p w14:paraId="715B7E8A" w14:textId="77777777" w:rsidR="008607AC" w:rsidRDefault="008607AC" w:rsidP="008607AC">
            <w:pPr>
              <w:rPr>
                <w:sz w:val="22"/>
                <w:szCs w:val="22"/>
              </w:rPr>
            </w:pPr>
            <w:r>
              <w:rPr>
                <w:sz w:val="22"/>
                <w:szCs w:val="22"/>
              </w:rPr>
              <w:t>Qatar(P)</w:t>
            </w:r>
          </w:p>
        </w:tc>
        <w:tc>
          <w:tcPr>
            <w:tcW w:w="0" w:type="auto"/>
          </w:tcPr>
          <w:p w14:paraId="5E1273BC" w14:textId="77777777" w:rsidR="008607AC" w:rsidRDefault="008607AC" w:rsidP="008607AC">
            <w:pPr>
              <w:rPr>
                <w:sz w:val="22"/>
                <w:szCs w:val="22"/>
              </w:rPr>
            </w:pPr>
            <w:r>
              <w:rPr>
                <w:sz w:val="22"/>
                <w:szCs w:val="22"/>
              </w:rPr>
              <w:t>Sri Lanka(P)</w:t>
            </w:r>
          </w:p>
        </w:tc>
        <w:tc>
          <w:tcPr>
            <w:tcW w:w="0" w:type="auto"/>
          </w:tcPr>
          <w:p w14:paraId="04EEDA07" w14:textId="77777777" w:rsidR="008607AC" w:rsidRDefault="008607AC" w:rsidP="008607AC">
            <w:pPr>
              <w:rPr>
                <w:sz w:val="22"/>
                <w:szCs w:val="22"/>
              </w:rPr>
            </w:pPr>
            <w:r>
              <w:rPr>
                <w:sz w:val="22"/>
                <w:szCs w:val="22"/>
              </w:rPr>
              <w:t>Syria(P)</w:t>
            </w:r>
          </w:p>
        </w:tc>
        <w:tc>
          <w:tcPr>
            <w:tcW w:w="1632" w:type="dxa"/>
          </w:tcPr>
          <w:p w14:paraId="5A2EF324" w14:textId="77777777" w:rsidR="008607AC" w:rsidRDefault="008607AC" w:rsidP="008607AC">
            <w:pPr>
              <w:rPr>
                <w:sz w:val="22"/>
                <w:szCs w:val="22"/>
              </w:rPr>
            </w:pPr>
          </w:p>
        </w:tc>
        <w:tc>
          <w:tcPr>
            <w:tcW w:w="1991" w:type="dxa"/>
          </w:tcPr>
          <w:p w14:paraId="5632998C" w14:textId="77777777" w:rsidR="008607AC" w:rsidRDefault="008607AC" w:rsidP="008607AC">
            <w:pPr>
              <w:rPr>
                <w:sz w:val="22"/>
                <w:szCs w:val="22"/>
              </w:rPr>
            </w:pPr>
          </w:p>
        </w:tc>
      </w:tr>
      <w:tr w:rsidR="008607AC" w14:paraId="7FFBB73A" w14:textId="77777777" w:rsidTr="008607AC">
        <w:tc>
          <w:tcPr>
            <w:tcW w:w="0" w:type="auto"/>
          </w:tcPr>
          <w:p w14:paraId="2DC390BE" w14:textId="77777777" w:rsidR="008607AC" w:rsidRDefault="008607AC" w:rsidP="008607AC">
            <w:pPr>
              <w:rPr>
                <w:sz w:val="22"/>
                <w:szCs w:val="22"/>
              </w:rPr>
            </w:pPr>
            <w:r>
              <w:rPr>
                <w:sz w:val="22"/>
                <w:szCs w:val="22"/>
              </w:rPr>
              <w:t>1980</w:t>
            </w:r>
          </w:p>
        </w:tc>
        <w:tc>
          <w:tcPr>
            <w:tcW w:w="1938" w:type="dxa"/>
          </w:tcPr>
          <w:p w14:paraId="42948664" w14:textId="77777777" w:rsidR="008607AC" w:rsidRDefault="008607AC" w:rsidP="008607AC">
            <w:pPr>
              <w:rPr>
                <w:sz w:val="22"/>
                <w:szCs w:val="22"/>
              </w:rPr>
            </w:pPr>
            <w:r>
              <w:rPr>
                <w:sz w:val="22"/>
                <w:szCs w:val="22"/>
              </w:rPr>
              <w:t>Guatemala(P)</w:t>
            </w:r>
          </w:p>
        </w:tc>
        <w:tc>
          <w:tcPr>
            <w:tcW w:w="0" w:type="auto"/>
          </w:tcPr>
          <w:p w14:paraId="56F47B1A" w14:textId="77777777" w:rsidR="008607AC" w:rsidRDefault="008607AC" w:rsidP="008607AC">
            <w:pPr>
              <w:rPr>
                <w:sz w:val="22"/>
                <w:szCs w:val="22"/>
              </w:rPr>
            </w:pPr>
            <w:r>
              <w:rPr>
                <w:sz w:val="22"/>
                <w:szCs w:val="22"/>
              </w:rPr>
              <w:t>Liberia(P)</w:t>
            </w:r>
          </w:p>
        </w:tc>
        <w:tc>
          <w:tcPr>
            <w:tcW w:w="0" w:type="auto"/>
          </w:tcPr>
          <w:p w14:paraId="7C2366F0" w14:textId="77777777" w:rsidR="008607AC" w:rsidRDefault="008607AC" w:rsidP="008607AC">
            <w:pPr>
              <w:rPr>
                <w:sz w:val="22"/>
                <w:szCs w:val="22"/>
              </w:rPr>
            </w:pPr>
            <w:r>
              <w:rPr>
                <w:sz w:val="22"/>
                <w:szCs w:val="22"/>
              </w:rPr>
              <w:t>Libya(P)</w:t>
            </w:r>
          </w:p>
        </w:tc>
        <w:tc>
          <w:tcPr>
            <w:tcW w:w="1632" w:type="dxa"/>
          </w:tcPr>
          <w:p w14:paraId="753104DD" w14:textId="77777777" w:rsidR="008607AC" w:rsidRDefault="008607AC" w:rsidP="008607AC">
            <w:pPr>
              <w:rPr>
                <w:sz w:val="22"/>
                <w:szCs w:val="22"/>
              </w:rPr>
            </w:pPr>
            <w:r>
              <w:rPr>
                <w:sz w:val="22"/>
                <w:szCs w:val="22"/>
              </w:rPr>
              <w:t>Madagascar(P)</w:t>
            </w:r>
          </w:p>
        </w:tc>
        <w:tc>
          <w:tcPr>
            <w:tcW w:w="1991" w:type="dxa"/>
          </w:tcPr>
          <w:p w14:paraId="74947FE7" w14:textId="77777777" w:rsidR="008607AC" w:rsidRDefault="008607AC" w:rsidP="008607AC">
            <w:pPr>
              <w:rPr>
                <w:sz w:val="22"/>
                <w:szCs w:val="22"/>
              </w:rPr>
            </w:pPr>
            <w:r>
              <w:rPr>
                <w:sz w:val="22"/>
                <w:szCs w:val="22"/>
              </w:rPr>
              <w:t>Sudan(P)</w:t>
            </w:r>
          </w:p>
        </w:tc>
      </w:tr>
      <w:tr w:rsidR="008607AC" w14:paraId="26B64688" w14:textId="77777777" w:rsidTr="008607AC">
        <w:tc>
          <w:tcPr>
            <w:tcW w:w="0" w:type="auto"/>
          </w:tcPr>
          <w:p w14:paraId="76B12514" w14:textId="77777777" w:rsidR="008607AC" w:rsidRDefault="008607AC" w:rsidP="008607AC">
            <w:pPr>
              <w:rPr>
                <w:sz w:val="22"/>
                <w:szCs w:val="22"/>
              </w:rPr>
            </w:pPr>
          </w:p>
        </w:tc>
        <w:tc>
          <w:tcPr>
            <w:tcW w:w="1938" w:type="dxa"/>
          </w:tcPr>
          <w:p w14:paraId="04E85798" w14:textId="77777777" w:rsidR="008607AC" w:rsidRDefault="008607AC" w:rsidP="008607AC">
            <w:pPr>
              <w:rPr>
                <w:sz w:val="22"/>
                <w:szCs w:val="22"/>
              </w:rPr>
            </w:pPr>
            <w:r>
              <w:rPr>
                <w:sz w:val="22"/>
                <w:szCs w:val="22"/>
              </w:rPr>
              <w:t>Uruguay(P)</w:t>
            </w:r>
          </w:p>
        </w:tc>
        <w:tc>
          <w:tcPr>
            <w:tcW w:w="0" w:type="auto"/>
          </w:tcPr>
          <w:p w14:paraId="60752846" w14:textId="77777777" w:rsidR="008607AC" w:rsidRDefault="008607AC" w:rsidP="008607AC">
            <w:pPr>
              <w:rPr>
                <w:sz w:val="22"/>
                <w:szCs w:val="22"/>
              </w:rPr>
            </w:pPr>
          </w:p>
        </w:tc>
        <w:tc>
          <w:tcPr>
            <w:tcW w:w="0" w:type="auto"/>
          </w:tcPr>
          <w:p w14:paraId="0996FF44" w14:textId="77777777" w:rsidR="008607AC" w:rsidRDefault="008607AC" w:rsidP="008607AC">
            <w:pPr>
              <w:rPr>
                <w:sz w:val="22"/>
                <w:szCs w:val="22"/>
              </w:rPr>
            </w:pPr>
          </w:p>
        </w:tc>
        <w:tc>
          <w:tcPr>
            <w:tcW w:w="1632" w:type="dxa"/>
          </w:tcPr>
          <w:p w14:paraId="00CB9485" w14:textId="77777777" w:rsidR="008607AC" w:rsidRDefault="008607AC" w:rsidP="008607AC">
            <w:pPr>
              <w:rPr>
                <w:sz w:val="22"/>
                <w:szCs w:val="22"/>
              </w:rPr>
            </w:pPr>
          </w:p>
        </w:tc>
        <w:tc>
          <w:tcPr>
            <w:tcW w:w="1991" w:type="dxa"/>
          </w:tcPr>
          <w:p w14:paraId="1D0D6A5D" w14:textId="77777777" w:rsidR="008607AC" w:rsidRDefault="008607AC" w:rsidP="008607AC">
            <w:pPr>
              <w:rPr>
                <w:sz w:val="22"/>
                <w:szCs w:val="22"/>
              </w:rPr>
            </w:pPr>
          </w:p>
        </w:tc>
      </w:tr>
      <w:tr w:rsidR="008607AC" w14:paraId="18527628" w14:textId="77777777" w:rsidTr="008607AC">
        <w:tc>
          <w:tcPr>
            <w:tcW w:w="0" w:type="auto"/>
          </w:tcPr>
          <w:p w14:paraId="39BC9F18" w14:textId="77777777" w:rsidR="008607AC" w:rsidRDefault="008607AC" w:rsidP="008607AC">
            <w:pPr>
              <w:rPr>
                <w:sz w:val="22"/>
                <w:szCs w:val="22"/>
              </w:rPr>
            </w:pPr>
            <w:r>
              <w:rPr>
                <w:sz w:val="22"/>
                <w:szCs w:val="22"/>
              </w:rPr>
              <w:t>1981</w:t>
            </w:r>
          </w:p>
        </w:tc>
        <w:tc>
          <w:tcPr>
            <w:tcW w:w="1938" w:type="dxa"/>
          </w:tcPr>
          <w:p w14:paraId="14302916" w14:textId="77777777" w:rsidR="008607AC" w:rsidRDefault="008607AC" w:rsidP="008607AC">
            <w:pPr>
              <w:rPr>
                <w:sz w:val="22"/>
                <w:szCs w:val="22"/>
              </w:rPr>
            </w:pPr>
            <w:r>
              <w:rPr>
                <w:sz w:val="22"/>
                <w:szCs w:val="22"/>
              </w:rPr>
              <w:t>Brunei/Bhutan(P)</w:t>
            </w:r>
          </w:p>
        </w:tc>
        <w:tc>
          <w:tcPr>
            <w:tcW w:w="0" w:type="auto"/>
          </w:tcPr>
          <w:p w14:paraId="16A4E632" w14:textId="77777777" w:rsidR="008607AC" w:rsidRDefault="008607AC" w:rsidP="008607AC">
            <w:pPr>
              <w:rPr>
                <w:sz w:val="22"/>
                <w:szCs w:val="22"/>
              </w:rPr>
            </w:pPr>
            <w:r>
              <w:rPr>
                <w:sz w:val="22"/>
                <w:szCs w:val="22"/>
              </w:rPr>
              <w:t>Bangladesh(P)</w:t>
            </w:r>
          </w:p>
        </w:tc>
        <w:tc>
          <w:tcPr>
            <w:tcW w:w="0" w:type="auto"/>
          </w:tcPr>
          <w:p w14:paraId="4F1FBE4A" w14:textId="77777777" w:rsidR="008607AC" w:rsidRDefault="008607AC" w:rsidP="008607AC">
            <w:pPr>
              <w:rPr>
                <w:sz w:val="22"/>
                <w:szCs w:val="22"/>
              </w:rPr>
            </w:pPr>
            <w:r>
              <w:rPr>
                <w:sz w:val="22"/>
                <w:szCs w:val="22"/>
              </w:rPr>
              <w:t>Belize(P)</w:t>
            </w:r>
          </w:p>
        </w:tc>
        <w:tc>
          <w:tcPr>
            <w:tcW w:w="1632" w:type="dxa"/>
          </w:tcPr>
          <w:p w14:paraId="0FD40A95" w14:textId="77777777" w:rsidR="008607AC" w:rsidRDefault="008607AC" w:rsidP="008607AC">
            <w:pPr>
              <w:rPr>
                <w:sz w:val="22"/>
                <w:szCs w:val="22"/>
              </w:rPr>
            </w:pPr>
            <w:r>
              <w:rPr>
                <w:sz w:val="22"/>
                <w:szCs w:val="22"/>
              </w:rPr>
              <w:t>Costa Rica(P)</w:t>
            </w:r>
          </w:p>
        </w:tc>
        <w:tc>
          <w:tcPr>
            <w:tcW w:w="1991" w:type="dxa"/>
          </w:tcPr>
          <w:p w14:paraId="54A6A69B" w14:textId="77777777" w:rsidR="008607AC" w:rsidRDefault="008607AC" w:rsidP="008607AC">
            <w:pPr>
              <w:rPr>
                <w:sz w:val="22"/>
                <w:szCs w:val="22"/>
              </w:rPr>
            </w:pPr>
            <w:r>
              <w:rPr>
                <w:sz w:val="22"/>
                <w:szCs w:val="22"/>
              </w:rPr>
              <w:t>Dem.Rep.Congo(P)</w:t>
            </w:r>
          </w:p>
        </w:tc>
      </w:tr>
      <w:tr w:rsidR="008607AC" w14:paraId="37582EDD" w14:textId="77777777" w:rsidTr="008607AC">
        <w:tc>
          <w:tcPr>
            <w:tcW w:w="0" w:type="auto"/>
          </w:tcPr>
          <w:p w14:paraId="2E8B9AF3" w14:textId="77777777" w:rsidR="008607AC" w:rsidRDefault="008607AC" w:rsidP="008607AC">
            <w:pPr>
              <w:rPr>
                <w:sz w:val="22"/>
                <w:szCs w:val="22"/>
              </w:rPr>
            </w:pPr>
          </w:p>
        </w:tc>
        <w:tc>
          <w:tcPr>
            <w:tcW w:w="1938" w:type="dxa"/>
          </w:tcPr>
          <w:p w14:paraId="3CC41B84" w14:textId="77777777" w:rsidR="008607AC" w:rsidRDefault="008607AC" w:rsidP="008607AC">
            <w:pPr>
              <w:rPr>
                <w:sz w:val="22"/>
                <w:szCs w:val="22"/>
              </w:rPr>
            </w:pPr>
            <w:r>
              <w:rPr>
                <w:sz w:val="22"/>
                <w:szCs w:val="22"/>
              </w:rPr>
              <w:t>Dominican Rep(P)</w:t>
            </w:r>
          </w:p>
        </w:tc>
        <w:tc>
          <w:tcPr>
            <w:tcW w:w="0" w:type="auto"/>
          </w:tcPr>
          <w:p w14:paraId="4A607C7B" w14:textId="77777777" w:rsidR="008607AC" w:rsidRDefault="008607AC" w:rsidP="008607AC">
            <w:pPr>
              <w:rPr>
                <w:sz w:val="22"/>
                <w:szCs w:val="22"/>
              </w:rPr>
            </w:pPr>
            <w:r>
              <w:rPr>
                <w:sz w:val="22"/>
                <w:szCs w:val="22"/>
              </w:rPr>
              <w:t>Fiji(P)</w:t>
            </w:r>
          </w:p>
        </w:tc>
        <w:tc>
          <w:tcPr>
            <w:tcW w:w="0" w:type="auto"/>
          </w:tcPr>
          <w:p w14:paraId="7294593E" w14:textId="77777777" w:rsidR="008607AC" w:rsidRDefault="008607AC" w:rsidP="008607AC">
            <w:pPr>
              <w:rPr>
                <w:sz w:val="22"/>
                <w:szCs w:val="22"/>
              </w:rPr>
            </w:pPr>
            <w:r>
              <w:rPr>
                <w:sz w:val="22"/>
                <w:szCs w:val="22"/>
              </w:rPr>
              <w:t>Guadeloupe(P)</w:t>
            </w:r>
          </w:p>
        </w:tc>
        <w:tc>
          <w:tcPr>
            <w:tcW w:w="1632" w:type="dxa"/>
          </w:tcPr>
          <w:p w14:paraId="40308234" w14:textId="77777777" w:rsidR="008607AC" w:rsidRDefault="008607AC" w:rsidP="008607AC">
            <w:pPr>
              <w:rPr>
                <w:sz w:val="22"/>
                <w:szCs w:val="22"/>
              </w:rPr>
            </w:pPr>
            <w:r>
              <w:rPr>
                <w:sz w:val="22"/>
                <w:szCs w:val="22"/>
              </w:rPr>
              <w:t>Seychelles(P)</w:t>
            </w:r>
          </w:p>
        </w:tc>
        <w:tc>
          <w:tcPr>
            <w:tcW w:w="1991" w:type="dxa"/>
          </w:tcPr>
          <w:p w14:paraId="1FFFE746" w14:textId="77777777" w:rsidR="008607AC" w:rsidRDefault="008607AC" w:rsidP="008607AC">
            <w:pPr>
              <w:rPr>
                <w:sz w:val="22"/>
                <w:szCs w:val="22"/>
              </w:rPr>
            </w:pPr>
            <w:r>
              <w:rPr>
                <w:sz w:val="22"/>
                <w:szCs w:val="22"/>
              </w:rPr>
              <w:t>Togo(P)</w:t>
            </w:r>
          </w:p>
        </w:tc>
      </w:tr>
      <w:tr w:rsidR="008607AC" w14:paraId="5F450072" w14:textId="77777777" w:rsidTr="008607AC">
        <w:tc>
          <w:tcPr>
            <w:tcW w:w="0" w:type="auto"/>
          </w:tcPr>
          <w:p w14:paraId="4D0AA43C" w14:textId="77777777" w:rsidR="008607AC" w:rsidRDefault="008607AC" w:rsidP="008607AC">
            <w:pPr>
              <w:rPr>
                <w:sz w:val="22"/>
                <w:szCs w:val="22"/>
              </w:rPr>
            </w:pPr>
          </w:p>
        </w:tc>
        <w:tc>
          <w:tcPr>
            <w:tcW w:w="1938" w:type="dxa"/>
          </w:tcPr>
          <w:p w14:paraId="2C4B645F" w14:textId="77777777" w:rsidR="008607AC" w:rsidRDefault="008607AC" w:rsidP="008607AC">
            <w:pPr>
              <w:rPr>
                <w:sz w:val="22"/>
                <w:szCs w:val="22"/>
              </w:rPr>
            </w:pPr>
            <w:r>
              <w:rPr>
                <w:sz w:val="22"/>
                <w:szCs w:val="22"/>
              </w:rPr>
              <w:t>Tunisia(P)</w:t>
            </w:r>
          </w:p>
        </w:tc>
        <w:tc>
          <w:tcPr>
            <w:tcW w:w="0" w:type="auto"/>
          </w:tcPr>
          <w:p w14:paraId="63564A6E" w14:textId="77777777" w:rsidR="008607AC" w:rsidRDefault="008607AC" w:rsidP="008607AC">
            <w:pPr>
              <w:rPr>
                <w:sz w:val="22"/>
                <w:szCs w:val="22"/>
              </w:rPr>
            </w:pPr>
            <w:r>
              <w:rPr>
                <w:sz w:val="22"/>
                <w:szCs w:val="22"/>
              </w:rPr>
              <w:t>Turkey(P)</w:t>
            </w:r>
          </w:p>
        </w:tc>
        <w:tc>
          <w:tcPr>
            <w:tcW w:w="0" w:type="auto"/>
          </w:tcPr>
          <w:p w14:paraId="00724777" w14:textId="77777777" w:rsidR="008607AC" w:rsidRDefault="008607AC" w:rsidP="008607AC">
            <w:pPr>
              <w:rPr>
                <w:sz w:val="22"/>
                <w:szCs w:val="22"/>
              </w:rPr>
            </w:pPr>
            <w:r>
              <w:rPr>
                <w:sz w:val="22"/>
                <w:szCs w:val="22"/>
              </w:rPr>
              <w:t>Venezuela(P)</w:t>
            </w:r>
          </w:p>
        </w:tc>
        <w:tc>
          <w:tcPr>
            <w:tcW w:w="1632" w:type="dxa"/>
          </w:tcPr>
          <w:p w14:paraId="3B2C4A1E" w14:textId="77777777" w:rsidR="008607AC" w:rsidRDefault="008607AC" w:rsidP="008607AC">
            <w:pPr>
              <w:rPr>
                <w:sz w:val="22"/>
                <w:szCs w:val="22"/>
              </w:rPr>
            </w:pPr>
          </w:p>
        </w:tc>
        <w:tc>
          <w:tcPr>
            <w:tcW w:w="1991" w:type="dxa"/>
          </w:tcPr>
          <w:p w14:paraId="2D2428FB" w14:textId="77777777" w:rsidR="008607AC" w:rsidRDefault="008607AC" w:rsidP="008607AC">
            <w:pPr>
              <w:rPr>
                <w:sz w:val="22"/>
                <w:szCs w:val="22"/>
              </w:rPr>
            </w:pPr>
          </w:p>
        </w:tc>
      </w:tr>
      <w:tr w:rsidR="008607AC" w14:paraId="0075C871" w14:textId="77777777" w:rsidTr="008607AC">
        <w:tc>
          <w:tcPr>
            <w:tcW w:w="0" w:type="auto"/>
            <w:tcBorders>
              <w:bottom w:val="nil"/>
            </w:tcBorders>
          </w:tcPr>
          <w:p w14:paraId="752EF864" w14:textId="77777777" w:rsidR="008607AC" w:rsidRDefault="008607AC" w:rsidP="008607AC">
            <w:pPr>
              <w:rPr>
                <w:sz w:val="22"/>
                <w:szCs w:val="22"/>
              </w:rPr>
            </w:pPr>
            <w:r>
              <w:rPr>
                <w:sz w:val="22"/>
                <w:szCs w:val="22"/>
              </w:rPr>
              <w:t>1982</w:t>
            </w:r>
          </w:p>
        </w:tc>
        <w:tc>
          <w:tcPr>
            <w:tcW w:w="1938" w:type="dxa"/>
            <w:tcBorders>
              <w:bottom w:val="nil"/>
            </w:tcBorders>
          </w:tcPr>
          <w:p w14:paraId="25FC1282" w14:textId="77777777" w:rsidR="008607AC" w:rsidRDefault="008607AC" w:rsidP="008607AC">
            <w:pPr>
              <w:rPr>
                <w:sz w:val="22"/>
                <w:szCs w:val="22"/>
              </w:rPr>
            </w:pPr>
            <w:r>
              <w:rPr>
                <w:sz w:val="22"/>
                <w:szCs w:val="22"/>
              </w:rPr>
              <w:t>Gambia(P)</w:t>
            </w:r>
          </w:p>
        </w:tc>
        <w:tc>
          <w:tcPr>
            <w:tcW w:w="0" w:type="auto"/>
            <w:tcBorders>
              <w:bottom w:val="nil"/>
            </w:tcBorders>
          </w:tcPr>
          <w:p w14:paraId="525EDA92" w14:textId="77777777" w:rsidR="008607AC" w:rsidRDefault="008607AC" w:rsidP="008607AC">
            <w:pPr>
              <w:rPr>
                <w:sz w:val="22"/>
                <w:szCs w:val="22"/>
              </w:rPr>
            </w:pPr>
            <w:r>
              <w:rPr>
                <w:sz w:val="22"/>
                <w:szCs w:val="22"/>
              </w:rPr>
              <w:t>Kiribati(P)</w:t>
            </w:r>
          </w:p>
        </w:tc>
        <w:tc>
          <w:tcPr>
            <w:tcW w:w="0" w:type="auto"/>
            <w:tcBorders>
              <w:bottom w:val="nil"/>
            </w:tcBorders>
          </w:tcPr>
          <w:p w14:paraId="1BF3E89C" w14:textId="77777777" w:rsidR="008607AC" w:rsidRDefault="008607AC" w:rsidP="008607AC">
            <w:pPr>
              <w:rPr>
                <w:sz w:val="22"/>
                <w:szCs w:val="22"/>
              </w:rPr>
            </w:pPr>
            <w:r>
              <w:rPr>
                <w:sz w:val="22"/>
                <w:szCs w:val="22"/>
              </w:rPr>
              <w:t>Mauritania(P)</w:t>
            </w:r>
          </w:p>
        </w:tc>
        <w:tc>
          <w:tcPr>
            <w:tcW w:w="1632" w:type="dxa"/>
            <w:tcBorders>
              <w:bottom w:val="nil"/>
            </w:tcBorders>
          </w:tcPr>
          <w:p w14:paraId="772F6CC7" w14:textId="77777777" w:rsidR="008607AC" w:rsidRDefault="008607AC" w:rsidP="008607AC">
            <w:pPr>
              <w:rPr>
                <w:sz w:val="22"/>
                <w:szCs w:val="22"/>
              </w:rPr>
            </w:pPr>
            <w:r>
              <w:rPr>
                <w:sz w:val="22"/>
                <w:szCs w:val="22"/>
              </w:rPr>
              <w:t>St.Helena(P)</w:t>
            </w:r>
          </w:p>
        </w:tc>
        <w:tc>
          <w:tcPr>
            <w:tcW w:w="1991" w:type="dxa"/>
            <w:tcBorders>
              <w:bottom w:val="nil"/>
            </w:tcBorders>
          </w:tcPr>
          <w:p w14:paraId="716D12C3" w14:textId="77777777" w:rsidR="008607AC" w:rsidRDefault="008607AC" w:rsidP="008607AC">
            <w:pPr>
              <w:rPr>
                <w:sz w:val="22"/>
                <w:szCs w:val="22"/>
              </w:rPr>
            </w:pPr>
          </w:p>
        </w:tc>
      </w:tr>
      <w:tr w:rsidR="008607AC" w14:paraId="7F2E1645" w14:textId="77777777" w:rsidTr="008607AC">
        <w:tc>
          <w:tcPr>
            <w:tcW w:w="0" w:type="auto"/>
            <w:tcBorders>
              <w:top w:val="nil"/>
              <w:bottom w:val="single" w:sz="4" w:space="0" w:color="auto"/>
            </w:tcBorders>
          </w:tcPr>
          <w:p w14:paraId="4197456E" w14:textId="77777777" w:rsidR="008607AC" w:rsidRDefault="008607AC" w:rsidP="008607AC">
            <w:pPr>
              <w:rPr>
                <w:sz w:val="22"/>
                <w:szCs w:val="22"/>
              </w:rPr>
            </w:pPr>
            <w:r>
              <w:rPr>
                <w:sz w:val="22"/>
                <w:szCs w:val="22"/>
              </w:rPr>
              <w:t>1983</w:t>
            </w:r>
          </w:p>
        </w:tc>
        <w:tc>
          <w:tcPr>
            <w:tcW w:w="1938" w:type="dxa"/>
            <w:tcBorders>
              <w:top w:val="nil"/>
              <w:bottom w:val="single" w:sz="4" w:space="0" w:color="auto"/>
            </w:tcBorders>
          </w:tcPr>
          <w:p w14:paraId="634F7782" w14:textId="77777777" w:rsidR="008607AC" w:rsidRDefault="008607AC" w:rsidP="008607AC">
            <w:pPr>
              <w:rPr>
                <w:sz w:val="22"/>
                <w:szCs w:val="22"/>
              </w:rPr>
            </w:pPr>
            <w:r>
              <w:rPr>
                <w:sz w:val="22"/>
                <w:szCs w:val="22"/>
              </w:rPr>
              <w:t>Bermuda(P)</w:t>
            </w:r>
          </w:p>
        </w:tc>
        <w:tc>
          <w:tcPr>
            <w:tcW w:w="0" w:type="auto"/>
            <w:tcBorders>
              <w:top w:val="nil"/>
              <w:bottom w:val="single" w:sz="4" w:space="0" w:color="auto"/>
            </w:tcBorders>
          </w:tcPr>
          <w:p w14:paraId="7AA8A6C4" w14:textId="77777777" w:rsidR="008607AC" w:rsidRDefault="008607AC" w:rsidP="008607AC">
            <w:pPr>
              <w:rPr>
                <w:sz w:val="22"/>
                <w:szCs w:val="22"/>
              </w:rPr>
            </w:pPr>
            <w:r>
              <w:rPr>
                <w:sz w:val="22"/>
                <w:szCs w:val="22"/>
              </w:rPr>
              <w:t>Ethiopia(P)</w:t>
            </w:r>
          </w:p>
        </w:tc>
        <w:tc>
          <w:tcPr>
            <w:tcW w:w="0" w:type="auto"/>
            <w:tcBorders>
              <w:top w:val="nil"/>
              <w:bottom w:val="single" w:sz="4" w:space="0" w:color="auto"/>
            </w:tcBorders>
          </w:tcPr>
          <w:p w14:paraId="3312A6AA" w14:textId="77777777" w:rsidR="008607AC" w:rsidRDefault="008607AC" w:rsidP="008607AC">
            <w:pPr>
              <w:rPr>
                <w:sz w:val="22"/>
                <w:szCs w:val="22"/>
              </w:rPr>
            </w:pPr>
            <w:r>
              <w:rPr>
                <w:sz w:val="22"/>
                <w:szCs w:val="22"/>
              </w:rPr>
              <w:t>Guinea(P)</w:t>
            </w:r>
          </w:p>
        </w:tc>
        <w:tc>
          <w:tcPr>
            <w:tcW w:w="1632" w:type="dxa"/>
            <w:tcBorders>
              <w:top w:val="nil"/>
              <w:bottom w:val="single" w:sz="4" w:space="0" w:color="auto"/>
            </w:tcBorders>
          </w:tcPr>
          <w:p w14:paraId="6D908C2A" w14:textId="77777777" w:rsidR="008607AC" w:rsidRDefault="008607AC" w:rsidP="008607AC">
            <w:pPr>
              <w:rPr>
                <w:sz w:val="22"/>
                <w:szCs w:val="22"/>
              </w:rPr>
            </w:pPr>
            <w:r>
              <w:rPr>
                <w:sz w:val="22"/>
                <w:szCs w:val="22"/>
              </w:rPr>
              <w:t>Malta(P)</w:t>
            </w:r>
          </w:p>
        </w:tc>
        <w:tc>
          <w:tcPr>
            <w:tcW w:w="1991" w:type="dxa"/>
            <w:tcBorders>
              <w:top w:val="nil"/>
              <w:bottom w:val="single" w:sz="4" w:space="0" w:color="auto"/>
            </w:tcBorders>
          </w:tcPr>
          <w:p w14:paraId="5D5E213D" w14:textId="77777777" w:rsidR="008607AC" w:rsidRDefault="008607AC" w:rsidP="008607AC">
            <w:pPr>
              <w:rPr>
                <w:sz w:val="22"/>
                <w:szCs w:val="22"/>
              </w:rPr>
            </w:pPr>
            <w:r>
              <w:rPr>
                <w:sz w:val="22"/>
                <w:szCs w:val="22"/>
              </w:rPr>
              <w:t>Myanmar(P)</w:t>
            </w:r>
          </w:p>
        </w:tc>
      </w:tr>
    </w:tbl>
    <w:p w14:paraId="26195199" w14:textId="77777777" w:rsidR="008607AC" w:rsidRPr="00C66168" w:rsidRDefault="008607AC" w:rsidP="008607AC">
      <w:pPr>
        <w:rPr>
          <w:sz w:val="22"/>
          <w:szCs w:val="22"/>
        </w:rPr>
      </w:pPr>
      <w:r>
        <w:rPr>
          <w:sz w:val="22"/>
          <w:szCs w:val="22"/>
        </w:rPr>
        <w:t>(</w:t>
      </w:r>
      <w:r w:rsidRPr="00C66168">
        <w:rPr>
          <w:sz w:val="22"/>
          <w:szCs w:val="22"/>
        </w:rPr>
        <w:t>P</w:t>
      </w:r>
      <w:r>
        <w:rPr>
          <w:sz w:val="22"/>
          <w:szCs w:val="22"/>
        </w:rPr>
        <w:t>)</w:t>
      </w:r>
      <w:r w:rsidRPr="00C66168">
        <w:rPr>
          <w:sz w:val="22"/>
          <w:szCs w:val="22"/>
        </w:rPr>
        <w:t xml:space="preserve"> denotes that the country containerized by port first.</w:t>
      </w:r>
    </w:p>
    <w:p w14:paraId="345C303A" w14:textId="77777777" w:rsidR="008607AC" w:rsidRPr="00C66168" w:rsidRDefault="008607AC" w:rsidP="008607AC">
      <w:pPr>
        <w:rPr>
          <w:sz w:val="22"/>
          <w:szCs w:val="22"/>
        </w:rPr>
      </w:pPr>
      <w:r>
        <w:rPr>
          <w:sz w:val="22"/>
          <w:szCs w:val="22"/>
        </w:rPr>
        <w:t>(</w:t>
      </w:r>
      <w:r w:rsidRPr="00C66168">
        <w:rPr>
          <w:sz w:val="22"/>
          <w:szCs w:val="22"/>
        </w:rPr>
        <w:t>R</w:t>
      </w:r>
      <w:r>
        <w:rPr>
          <w:sz w:val="22"/>
          <w:szCs w:val="22"/>
        </w:rPr>
        <w:t>)</w:t>
      </w:r>
      <w:r w:rsidRPr="00C66168">
        <w:rPr>
          <w:sz w:val="22"/>
          <w:szCs w:val="22"/>
        </w:rPr>
        <w:t xml:space="preserve"> denotes that the country containerized by rail first.</w:t>
      </w:r>
    </w:p>
    <w:p w14:paraId="4FB2EC26" w14:textId="77777777" w:rsidR="008607AC" w:rsidRDefault="008607AC" w:rsidP="008607AC">
      <w:pPr>
        <w:rPr>
          <w:sz w:val="22"/>
          <w:szCs w:val="22"/>
        </w:rPr>
      </w:pPr>
      <w:r>
        <w:rPr>
          <w:sz w:val="22"/>
          <w:szCs w:val="22"/>
        </w:rPr>
        <w:t xml:space="preserve">(*) </w:t>
      </w:r>
      <w:r w:rsidRPr="00C66168">
        <w:rPr>
          <w:sz w:val="22"/>
          <w:szCs w:val="22"/>
        </w:rPr>
        <w:t xml:space="preserve">denotes that the country is </w:t>
      </w:r>
      <w:r w:rsidR="005F1642">
        <w:rPr>
          <w:sz w:val="22"/>
          <w:szCs w:val="22"/>
        </w:rPr>
        <w:t>in the</w:t>
      </w:r>
      <w:r w:rsidRPr="00C66168">
        <w:rPr>
          <w:sz w:val="22"/>
          <w:szCs w:val="22"/>
        </w:rPr>
        <w:t xml:space="preserve"> North</w:t>
      </w:r>
      <w:r w:rsidR="005F1642">
        <w:rPr>
          <w:sz w:val="22"/>
          <w:szCs w:val="22"/>
        </w:rPr>
        <w:t>-North sample</w:t>
      </w:r>
      <w:r w:rsidRPr="00C66168">
        <w:rPr>
          <w:sz w:val="22"/>
          <w:szCs w:val="22"/>
        </w:rPr>
        <w:t>.</w:t>
      </w:r>
    </w:p>
    <w:p w14:paraId="1E1A47CC" w14:textId="77777777" w:rsidR="006F4D00" w:rsidRDefault="006F4D00" w:rsidP="003B3AB6">
      <w:pPr>
        <w:spacing w:after="200" w:line="276" w:lineRule="auto"/>
      </w:pPr>
    </w:p>
    <w:p w14:paraId="7141165A" w14:textId="77777777" w:rsidR="008607AC" w:rsidRDefault="008607AC" w:rsidP="003B3AB6">
      <w:pPr>
        <w:spacing w:after="200" w:line="276" w:lineRule="auto"/>
      </w:pPr>
      <w:r>
        <w:t>Panel B: Countries that do not containerize by port or rail 1966-1983 (35 countries)</w:t>
      </w:r>
    </w:p>
    <w:tbl>
      <w:tblPr>
        <w:tblW w:w="9169" w:type="dxa"/>
        <w:tblInd w:w="93" w:type="dxa"/>
        <w:tblLayout w:type="fixed"/>
        <w:tblLook w:val="04A0" w:firstRow="1" w:lastRow="0" w:firstColumn="1" w:lastColumn="0" w:noHBand="0" w:noVBand="1"/>
      </w:tblPr>
      <w:tblGrid>
        <w:gridCol w:w="1858"/>
        <w:gridCol w:w="1985"/>
        <w:gridCol w:w="1524"/>
        <w:gridCol w:w="2502"/>
        <w:gridCol w:w="1300"/>
      </w:tblGrid>
      <w:tr w:rsidR="008607AC" w:rsidRPr="00D9288D" w14:paraId="4A742A28" w14:textId="77777777" w:rsidTr="008607AC">
        <w:trPr>
          <w:trHeight w:val="300"/>
        </w:trPr>
        <w:tc>
          <w:tcPr>
            <w:tcW w:w="1858" w:type="dxa"/>
            <w:tcBorders>
              <w:top w:val="single" w:sz="8" w:space="0" w:color="auto"/>
              <w:left w:val="nil"/>
              <w:bottom w:val="nil"/>
              <w:right w:val="nil"/>
            </w:tcBorders>
            <w:shd w:val="clear" w:color="auto" w:fill="auto"/>
            <w:noWrap/>
            <w:vAlign w:val="center"/>
            <w:hideMark/>
          </w:tcPr>
          <w:p w14:paraId="69037234" w14:textId="77777777" w:rsidR="008607AC" w:rsidRPr="006F4D00" w:rsidRDefault="008607AC" w:rsidP="008607AC">
            <w:pPr>
              <w:rPr>
                <w:color w:val="000000"/>
              </w:rPr>
            </w:pPr>
            <w:r w:rsidRPr="006F4D00">
              <w:rPr>
                <w:color w:val="000000"/>
                <w:sz w:val="22"/>
                <w:szCs w:val="22"/>
              </w:rPr>
              <w:t xml:space="preserve">Afghanistan </w:t>
            </w:r>
          </w:p>
        </w:tc>
        <w:tc>
          <w:tcPr>
            <w:tcW w:w="1985" w:type="dxa"/>
            <w:tcBorders>
              <w:top w:val="single" w:sz="8" w:space="0" w:color="auto"/>
              <w:left w:val="nil"/>
              <w:bottom w:val="nil"/>
              <w:right w:val="nil"/>
            </w:tcBorders>
            <w:shd w:val="clear" w:color="auto" w:fill="auto"/>
            <w:noWrap/>
            <w:vAlign w:val="center"/>
            <w:hideMark/>
          </w:tcPr>
          <w:p w14:paraId="44412A4E" w14:textId="77777777" w:rsidR="008607AC" w:rsidRPr="006F4D00" w:rsidRDefault="008607AC" w:rsidP="008607AC">
            <w:pPr>
              <w:rPr>
                <w:color w:val="000000"/>
              </w:rPr>
            </w:pPr>
            <w:r w:rsidRPr="006F4D00">
              <w:rPr>
                <w:color w:val="000000"/>
                <w:sz w:val="22"/>
                <w:szCs w:val="22"/>
              </w:rPr>
              <w:t xml:space="preserve">Chad </w:t>
            </w:r>
          </w:p>
        </w:tc>
        <w:tc>
          <w:tcPr>
            <w:tcW w:w="1524" w:type="dxa"/>
            <w:tcBorders>
              <w:top w:val="single" w:sz="8" w:space="0" w:color="auto"/>
              <w:left w:val="nil"/>
              <w:bottom w:val="nil"/>
              <w:right w:val="nil"/>
            </w:tcBorders>
            <w:shd w:val="clear" w:color="auto" w:fill="auto"/>
            <w:noWrap/>
            <w:vAlign w:val="center"/>
            <w:hideMark/>
          </w:tcPr>
          <w:p w14:paraId="1300BE04" w14:textId="77777777" w:rsidR="008607AC" w:rsidRPr="006F4D00" w:rsidRDefault="008607AC" w:rsidP="008607AC">
            <w:pPr>
              <w:rPr>
                <w:color w:val="000000"/>
              </w:rPr>
            </w:pPr>
            <w:r w:rsidRPr="006F4D00">
              <w:rPr>
                <w:color w:val="000000"/>
                <w:sz w:val="22"/>
                <w:szCs w:val="22"/>
              </w:rPr>
              <w:t xml:space="preserve">Greenland </w:t>
            </w:r>
          </w:p>
        </w:tc>
        <w:tc>
          <w:tcPr>
            <w:tcW w:w="2502" w:type="dxa"/>
            <w:tcBorders>
              <w:top w:val="single" w:sz="8" w:space="0" w:color="auto"/>
              <w:left w:val="nil"/>
              <w:bottom w:val="nil"/>
              <w:right w:val="nil"/>
            </w:tcBorders>
            <w:shd w:val="clear" w:color="auto" w:fill="auto"/>
            <w:noWrap/>
            <w:vAlign w:val="center"/>
            <w:hideMark/>
          </w:tcPr>
          <w:p w14:paraId="1E866477" w14:textId="77777777" w:rsidR="008607AC" w:rsidRPr="006F4D00" w:rsidRDefault="008607AC" w:rsidP="008607AC">
            <w:pPr>
              <w:rPr>
                <w:color w:val="000000"/>
              </w:rPr>
            </w:pPr>
            <w:r w:rsidRPr="006F4D00">
              <w:rPr>
                <w:color w:val="000000"/>
                <w:sz w:val="22"/>
                <w:szCs w:val="22"/>
              </w:rPr>
              <w:t xml:space="preserve">Mongolia </w:t>
            </w:r>
          </w:p>
        </w:tc>
        <w:tc>
          <w:tcPr>
            <w:tcW w:w="1300" w:type="dxa"/>
            <w:tcBorders>
              <w:top w:val="single" w:sz="8" w:space="0" w:color="auto"/>
              <w:left w:val="nil"/>
              <w:bottom w:val="nil"/>
              <w:right w:val="nil"/>
            </w:tcBorders>
            <w:shd w:val="clear" w:color="auto" w:fill="auto"/>
            <w:noWrap/>
            <w:vAlign w:val="center"/>
            <w:hideMark/>
          </w:tcPr>
          <w:p w14:paraId="24C8E7DF" w14:textId="77777777" w:rsidR="008607AC" w:rsidRPr="006F4D00" w:rsidRDefault="008607AC" w:rsidP="008607AC">
            <w:pPr>
              <w:rPr>
                <w:color w:val="000000"/>
              </w:rPr>
            </w:pPr>
            <w:r w:rsidRPr="006F4D00">
              <w:rPr>
                <w:color w:val="000000"/>
                <w:sz w:val="22"/>
                <w:szCs w:val="22"/>
              </w:rPr>
              <w:t xml:space="preserve">Senegal </w:t>
            </w:r>
          </w:p>
        </w:tc>
      </w:tr>
      <w:tr w:rsidR="008607AC" w:rsidRPr="00D9288D" w14:paraId="6225C8CB" w14:textId="77777777" w:rsidTr="008607AC">
        <w:trPr>
          <w:trHeight w:val="300"/>
        </w:trPr>
        <w:tc>
          <w:tcPr>
            <w:tcW w:w="1858" w:type="dxa"/>
            <w:tcBorders>
              <w:top w:val="nil"/>
              <w:left w:val="nil"/>
              <w:bottom w:val="nil"/>
              <w:right w:val="nil"/>
            </w:tcBorders>
            <w:shd w:val="clear" w:color="auto" w:fill="auto"/>
            <w:noWrap/>
            <w:vAlign w:val="center"/>
            <w:hideMark/>
          </w:tcPr>
          <w:p w14:paraId="658219B2" w14:textId="77777777" w:rsidR="008607AC" w:rsidRPr="006F4D00" w:rsidRDefault="008607AC" w:rsidP="008607AC">
            <w:pPr>
              <w:rPr>
                <w:color w:val="000000"/>
              </w:rPr>
            </w:pPr>
            <w:r w:rsidRPr="006F4D00">
              <w:rPr>
                <w:color w:val="000000"/>
                <w:sz w:val="22"/>
                <w:szCs w:val="22"/>
              </w:rPr>
              <w:t xml:space="preserve">Albania </w:t>
            </w:r>
          </w:p>
        </w:tc>
        <w:tc>
          <w:tcPr>
            <w:tcW w:w="1985" w:type="dxa"/>
            <w:tcBorders>
              <w:top w:val="nil"/>
              <w:left w:val="nil"/>
              <w:bottom w:val="nil"/>
              <w:right w:val="nil"/>
            </w:tcBorders>
            <w:shd w:val="clear" w:color="auto" w:fill="auto"/>
            <w:noWrap/>
            <w:vAlign w:val="center"/>
            <w:hideMark/>
          </w:tcPr>
          <w:p w14:paraId="4B20A159" w14:textId="77777777" w:rsidR="008607AC" w:rsidRPr="006F4D00" w:rsidRDefault="008607AC" w:rsidP="008607AC">
            <w:pPr>
              <w:rPr>
                <w:color w:val="000000"/>
              </w:rPr>
            </w:pPr>
            <w:r w:rsidRPr="006F4D00">
              <w:rPr>
                <w:color w:val="000000"/>
                <w:sz w:val="22"/>
                <w:szCs w:val="22"/>
              </w:rPr>
              <w:t xml:space="preserve">Cuba </w:t>
            </w:r>
          </w:p>
        </w:tc>
        <w:tc>
          <w:tcPr>
            <w:tcW w:w="1524" w:type="dxa"/>
            <w:tcBorders>
              <w:top w:val="nil"/>
              <w:left w:val="nil"/>
              <w:bottom w:val="nil"/>
              <w:right w:val="nil"/>
            </w:tcBorders>
            <w:shd w:val="clear" w:color="auto" w:fill="auto"/>
            <w:noWrap/>
            <w:vAlign w:val="center"/>
            <w:hideMark/>
          </w:tcPr>
          <w:p w14:paraId="3DDAAB73" w14:textId="77777777" w:rsidR="008607AC" w:rsidRPr="006F4D00" w:rsidRDefault="008607AC" w:rsidP="008607AC">
            <w:pPr>
              <w:rPr>
                <w:color w:val="000000"/>
              </w:rPr>
            </w:pPr>
            <w:r w:rsidRPr="006F4D00">
              <w:rPr>
                <w:color w:val="000000"/>
                <w:sz w:val="22"/>
                <w:szCs w:val="22"/>
              </w:rPr>
              <w:t>GuineaBissau</w:t>
            </w:r>
          </w:p>
        </w:tc>
        <w:tc>
          <w:tcPr>
            <w:tcW w:w="2502" w:type="dxa"/>
            <w:tcBorders>
              <w:top w:val="nil"/>
              <w:left w:val="nil"/>
              <w:bottom w:val="nil"/>
              <w:right w:val="nil"/>
            </w:tcBorders>
            <w:shd w:val="clear" w:color="auto" w:fill="auto"/>
            <w:noWrap/>
            <w:vAlign w:val="center"/>
            <w:hideMark/>
          </w:tcPr>
          <w:p w14:paraId="08F025A2" w14:textId="77777777" w:rsidR="008607AC" w:rsidRPr="006F4D00" w:rsidRDefault="008607AC" w:rsidP="008607AC">
            <w:pPr>
              <w:rPr>
                <w:color w:val="000000"/>
              </w:rPr>
            </w:pPr>
            <w:r w:rsidRPr="006F4D00">
              <w:rPr>
                <w:color w:val="000000"/>
                <w:sz w:val="22"/>
                <w:szCs w:val="22"/>
              </w:rPr>
              <w:t xml:space="preserve">Nepal </w:t>
            </w:r>
          </w:p>
        </w:tc>
        <w:tc>
          <w:tcPr>
            <w:tcW w:w="1300" w:type="dxa"/>
            <w:tcBorders>
              <w:top w:val="nil"/>
              <w:left w:val="nil"/>
              <w:bottom w:val="nil"/>
              <w:right w:val="nil"/>
            </w:tcBorders>
            <w:shd w:val="clear" w:color="auto" w:fill="auto"/>
            <w:noWrap/>
            <w:vAlign w:val="center"/>
            <w:hideMark/>
          </w:tcPr>
          <w:p w14:paraId="7FE07CEF" w14:textId="77777777" w:rsidR="008607AC" w:rsidRPr="006F4D00" w:rsidRDefault="008607AC" w:rsidP="008607AC">
            <w:pPr>
              <w:rPr>
                <w:color w:val="000000"/>
              </w:rPr>
            </w:pPr>
            <w:r w:rsidRPr="006F4D00">
              <w:rPr>
                <w:color w:val="000000"/>
                <w:sz w:val="22"/>
                <w:szCs w:val="22"/>
              </w:rPr>
              <w:t xml:space="preserve">Somalia </w:t>
            </w:r>
          </w:p>
        </w:tc>
      </w:tr>
      <w:tr w:rsidR="008607AC" w:rsidRPr="00D9288D" w14:paraId="6641E721" w14:textId="77777777" w:rsidTr="008607AC">
        <w:trPr>
          <w:trHeight w:val="300"/>
        </w:trPr>
        <w:tc>
          <w:tcPr>
            <w:tcW w:w="1858" w:type="dxa"/>
            <w:tcBorders>
              <w:top w:val="nil"/>
              <w:left w:val="nil"/>
              <w:bottom w:val="nil"/>
              <w:right w:val="nil"/>
            </w:tcBorders>
            <w:shd w:val="clear" w:color="auto" w:fill="auto"/>
            <w:noWrap/>
            <w:vAlign w:val="center"/>
            <w:hideMark/>
          </w:tcPr>
          <w:p w14:paraId="5E950A35" w14:textId="77777777" w:rsidR="008607AC" w:rsidRPr="006F4D00" w:rsidRDefault="008607AC" w:rsidP="008607AC">
            <w:pPr>
              <w:rPr>
                <w:color w:val="000000"/>
              </w:rPr>
            </w:pPr>
            <w:r w:rsidRPr="006F4D00">
              <w:rPr>
                <w:color w:val="000000"/>
                <w:sz w:val="22"/>
                <w:szCs w:val="22"/>
              </w:rPr>
              <w:t xml:space="preserve">Bolivia </w:t>
            </w:r>
          </w:p>
        </w:tc>
        <w:tc>
          <w:tcPr>
            <w:tcW w:w="1985" w:type="dxa"/>
            <w:tcBorders>
              <w:top w:val="nil"/>
              <w:left w:val="nil"/>
              <w:bottom w:val="nil"/>
              <w:right w:val="nil"/>
            </w:tcBorders>
            <w:shd w:val="clear" w:color="auto" w:fill="auto"/>
            <w:noWrap/>
            <w:vAlign w:val="center"/>
            <w:hideMark/>
          </w:tcPr>
          <w:p w14:paraId="16B573C4" w14:textId="77777777" w:rsidR="008607AC" w:rsidRPr="006F4D00" w:rsidRDefault="008607AC" w:rsidP="008607AC">
            <w:pPr>
              <w:rPr>
                <w:color w:val="000000"/>
              </w:rPr>
            </w:pPr>
            <w:r w:rsidRPr="006F4D00">
              <w:rPr>
                <w:color w:val="000000"/>
                <w:sz w:val="22"/>
                <w:szCs w:val="22"/>
              </w:rPr>
              <w:t xml:space="preserve">Eq. Guinea </w:t>
            </w:r>
          </w:p>
        </w:tc>
        <w:tc>
          <w:tcPr>
            <w:tcW w:w="1524" w:type="dxa"/>
            <w:tcBorders>
              <w:top w:val="nil"/>
              <w:left w:val="nil"/>
              <w:bottom w:val="nil"/>
              <w:right w:val="nil"/>
            </w:tcBorders>
            <w:shd w:val="clear" w:color="auto" w:fill="auto"/>
            <w:noWrap/>
            <w:vAlign w:val="center"/>
            <w:hideMark/>
          </w:tcPr>
          <w:p w14:paraId="4A26D7E1" w14:textId="77777777" w:rsidR="008607AC" w:rsidRPr="006F4D00" w:rsidRDefault="008607AC" w:rsidP="008607AC">
            <w:pPr>
              <w:rPr>
                <w:color w:val="000000"/>
              </w:rPr>
            </w:pPr>
            <w:r w:rsidRPr="006F4D00">
              <w:rPr>
                <w:color w:val="000000"/>
                <w:sz w:val="22"/>
                <w:szCs w:val="22"/>
              </w:rPr>
              <w:t xml:space="preserve">Guyana </w:t>
            </w:r>
          </w:p>
        </w:tc>
        <w:tc>
          <w:tcPr>
            <w:tcW w:w="2502" w:type="dxa"/>
            <w:tcBorders>
              <w:top w:val="nil"/>
              <w:left w:val="nil"/>
              <w:bottom w:val="nil"/>
              <w:right w:val="nil"/>
            </w:tcBorders>
            <w:shd w:val="clear" w:color="auto" w:fill="auto"/>
            <w:noWrap/>
            <w:vAlign w:val="center"/>
            <w:hideMark/>
          </w:tcPr>
          <w:p w14:paraId="4F34BCFC" w14:textId="77777777" w:rsidR="008607AC" w:rsidRPr="006F4D00" w:rsidRDefault="008607AC" w:rsidP="008607AC">
            <w:pPr>
              <w:rPr>
                <w:color w:val="000000"/>
              </w:rPr>
            </w:pPr>
            <w:r w:rsidRPr="006F4D00">
              <w:rPr>
                <w:color w:val="000000"/>
                <w:sz w:val="22"/>
                <w:szCs w:val="22"/>
              </w:rPr>
              <w:t xml:space="preserve">Niger </w:t>
            </w:r>
          </w:p>
        </w:tc>
        <w:tc>
          <w:tcPr>
            <w:tcW w:w="1300" w:type="dxa"/>
            <w:tcBorders>
              <w:top w:val="nil"/>
              <w:left w:val="nil"/>
              <w:bottom w:val="nil"/>
              <w:right w:val="nil"/>
            </w:tcBorders>
            <w:shd w:val="clear" w:color="auto" w:fill="auto"/>
            <w:noWrap/>
            <w:vAlign w:val="center"/>
            <w:hideMark/>
          </w:tcPr>
          <w:p w14:paraId="3542FF1E" w14:textId="77777777" w:rsidR="008607AC" w:rsidRPr="006F4D00" w:rsidRDefault="008607AC" w:rsidP="008607AC">
            <w:pPr>
              <w:rPr>
                <w:color w:val="000000"/>
              </w:rPr>
            </w:pPr>
            <w:r w:rsidRPr="006F4D00">
              <w:rPr>
                <w:color w:val="000000"/>
                <w:sz w:val="22"/>
                <w:szCs w:val="22"/>
              </w:rPr>
              <w:t xml:space="preserve">Suriname </w:t>
            </w:r>
          </w:p>
        </w:tc>
      </w:tr>
      <w:tr w:rsidR="008607AC" w:rsidRPr="00D9288D" w14:paraId="72B4C339" w14:textId="77777777" w:rsidTr="008607AC">
        <w:trPr>
          <w:trHeight w:val="300"/>
        </w:trPr>
        <w:tc>
          <w:tcPr>
            <w:tcW w:w="1858" w:type="dxa"/>
            <w:tcBorders>
              <w:top w:val="nil"/>
              <w:left w:val="nil"/>
              <w:bottom w:val="nil"/>
              <w:right w:val="nil"/>
            </w:tcBorders>
            <w:shd w:val="clear" w:color="auto" w:fill="auto"/>
            <w:noWrap/>
            <w:vAlign w:val="center"/>
            <w:hideMark/>
          </w:tcPr>
          <w:p w14:paraId="094CD6E6" w14:textId="77777777" w:rsidR="008607AC" w:rsidRPr="006F4D00" w:rsidRDefault="008607AC" w:rsidP="008607AC">
            <w:pPr>
              <w:rPr>
                <w:color w:val="000000"/>
              </w:rPr>
            </w:pPr>
            <w:r w:rsidRPr="006F4D00">
              <w:rPr>
                <w:color w:val="000000"/>
                <w:sz w:val="22"/>
                <w:szCs w:val="22"/>
              </w:rPr>
              <w:t xml:space="preserve">Burkina Faso </w:t>
            </w:r>
          </w:p>
        </w:tc>
        <w:tc>
          <w:tcPr>
            <w:tcW w:w="1985" w:type="dxa"/>
            <w:tcBorders>
              <w:top w:val="nil"/>
              <w:left w:val="nil"/>
              <w:bottom w:val="nil"/>
              <w:right w:val="nil"/>
            </w:tcBorders>
            <w:shd w:val="clear" w:color="auto" w:fill="auto"/>
            <w:noWrap/>
            <w:vAlign w:val="center"/>
            <w:hideMark/>
          </w:tcPr>
          <w:p w14:paraId="63DCFD56" w14:textId="77777777" w:rsidR="008607AC" w:rsidRPr="006F4D00" w:rsidRDefault="008607AC" w:rsidP="008607AC">
            <w:pPr>
              <w:rPr>
                <w:color w:val="000000"/>
              </w:rPr>
            </w:pPr>
            <w:r w:rsidRPr="006F4D00">
              <w:rPr>
                <w:color w:val="000000"/>
                <w:sz w:val="22"/>
                <w:szCs w:val="22"/>
              </w:rPr>
              <w:t xml:space="preserve">Falkland Islands </w:t>
            </w:r>
          </w:p>
        </w:tc>
        <w:tc>
          <w:tcPr>
            <w:tcW w:w="1524" w:type="dxa"/>
            <w:tcBorders>
              <w:top w:val="nil"/>
              <w:left w:val="nil"/>
              <w:bottom w:val="nil"/>
              <w:right w:val="nil"/>
            </w:tcBorders>
            <w:shd w:val="clear" w:color="auto" w:fill="auto"/>
            <w:noWrap/>
            <w:vAlign w:val="center"/>
            <w:hideMark/>
          </w:tcPr>
          <w:p w14:paraId="2FEFA688" w14:textId="77777777" w:rsidR="008607AC" w:rsidRPr="006F4D00" w:rsidRDefault="008607AC" w:rsidP="008607AC">
            <w:pPr>
              <w:rPr>
                <w:color w:val="000000"/>
              </w:rPr>
            </w:pPr>
            <w:r w:rsidRPr="006F4D00">
              <w:rPr>
                <w:color w:val="000000"/>
                <w:sz w:val="22"/>
                <w:szCs w:val="22"/>
              </w:rPr>
              <w:t xml:space="preserve">Laos </w:t>
            </w:r>
          </w:p>
        </w:tc>
        <w:tc>
          <w:tcPr>
            <w:tcW w:w="2502" w:type="dxa"/>
            <w:tcBorders>
              <w:top w:val="nil"/>
              <w:left w:val="nil"/>
              <w:bottom w:val="nil"/>
              <w:right w:val="nil"/>
            </w:tcBorders>
            <w:shd w:val="clear" w:color="auto" w:fill="auto"/>
            <w:noWrap/>
            <w:vAlign w:val="center"/>
            <w:hideMark/>
          </w:tcPr>
          <w:p w14:paraId="17D48487" w14:textId="77777777" w:rsidR="008607AC" w:rsidRPr="006F4D00" w:rsidRDefault="008607AC" w:rsidP="008607AC">
            <w:pPr>
              <w:rPr>
                <w:color w:val="000000"/>
              </w:rPr>
            </w:pPr>
            <w:r w:rsidRPr="006F4D00">
              <w:rPr>
                <w:color w:val="000000"/>
                <w:sz w:val="22"/>
                <w:szCs w:val="22"/>
              </w:rPr>
              <w:t xml:space="preserve">North Korea </w:t>
            </w:r>
          </w:p>
        </w:tc>
        <w:tc>
          <w:tcPr>
            <w:tcW w:w="1300" w:type="dxa"/>
            <w:tcBorders>
              <w:top w:val="nil"/>
              <w:left w:val="nil"/>
              <w:bottom w:val="nil"/>
              <w:right w:val="nil"/>
            </w:tcBorders>
            <w:shd w:val="clear" w:color="auto" w:fill="auto"/>
            <w:noWrap/>
            <w:vAlign w:val="center"/>
            <w:hideMark/>
          </w:tcPr>
          <w:p w14:paraId="4EECEFB5" w14:textId="77777777" w:rsidR="008607AC" w:rsidRPr="006F4D00" w:rsidRDefault="008607AC" w:rsidP="008607AC">
            <w:pPr>
              <w:rPr>
                <w:color w:val="000000"/>
              </w:rPr>
            </w:pPr>
            <w:r w:rsidRPr="006F4D00">
              <w:rPr>
                <w:color w:val="000000"/>
                <w:sz w:val="22"/>
                <w:szCs w:val="22"/>
              </w:rPr>
              <w:t>Uganda</w:t>
            </w:r>
          </w:p>
        </w:tc>
      </w:tr>
      <w:tr w:rsidR="008607AC" w:rsidRPr="00D9288D" w14:paraId="1E306706" w14:textId="77777777" w:rsidTr="008607AC">
        <w:trPr>
          <w:trHeight w:val="300"/>
        </w:trPr>
        <w:tc>
          <w:tcPr>
            <w:tcW w:w="1858" w:type="dxa"/>
            <w:tcBorders>
              <w:top w:val="nil"/>
              <w:left w:val="nil"/>
              <w:bottom w:val="nil"/>
              <w:right w:val="nil"/>
            </w:tcBorders>
            <w:shd w:val="clear" w:color="auto" w:fill="auto"/>
            <w:noWrap/>
            <w:vAlign w:val="center"/>
            <w:hideMark/>
          </w:tcPr>
          <w:p w14:paraId="1BB2650F" w14:textId="77777777" w:rsidR="008607AC" w:rsidRPr="006F4D00" w:rsidRDefault="008607AC" w:rsidP="008607AC">
            <w:pPr>
              <w:rPr>
                <w:color w:val="000000"/>
              </w:rPr>
            </w:pPr>
            <w:r w:rsidRPr="006F4D00">
              <w:rPr>
                <w:color w:val="000000"/>
                <w:sz w:val="22"/>
                <w:szCs w:val="22"/>
              </w:rPr>
              <w:t xml:space="preserve">Burundi </w:t>
            </w:r>
          </w:p>
        </w:tc>
        <w:tc>
          <w:tcPr>
            <w:tcW w:w="1985" w:type="dxa"/>
            <w:tcBorders>
              <w:top w:val="nil"/>
              <w:left w:val="nil"/>
              <w:bottom w:val="nil"/>
              <w:right w:val="nil"/>
            </w:tcBorders>
            <w:shd w:val="clear" w:color="auto" w:fill="auto"/>
            <w:noWrap/>
            <w:vAlign w:val="center"/>
            <w:hideMark/>
          </w:tcPr>
          <w:p w14:paraId="25DBB3F6" w14:textId="77777777" w:rsidR="008607AC" w:rsidRPr="006F4D00" w:rsidRDefault="008607AC" w:rsidP="008607AC">
            <w:pPr>
              <w:rPr>
                <w:color w:val="000000"/>
              </w:rPr>
            </w:pPr>
            <w:r w:rsidRPr="006F4D00">
              <w:rPr>
                <w:color w:val="000000"/>
                <w:sz w:val="22"/>
                <w:szCs w:val="22"/>
              </w:rPr>
              <w:t xml:space="preserve">French Guiana </w:t>
            </w:r>
          </w:p>
        </w:tc>
        <w:tc>
          <w:tcPr>
            <w:tcW w:w="1524" w:type="dxa"/>
            <w:tcBorders>
              <w:top w:val="nil"/>
              <w:left w:val="nil"/>
              <w:bottom w:val="nil"/>
              <w:right w:val="nil"/>
            </w:tcBorders>
            <w:shd w:val="clear" w:color="auto" w:fill="auto"/>
            <w:noWrap/>
            <w:vAlign w:val="center"/>
            <w:hideMark/>
          </w:tcPr>
          <w:p w14:paraId="7893B117" w14:textId="77777777" w:rsidR="008607AC" w:rsidRPr="006F4D00" w:rsidRDefault="008607AC" w:rsidP="008607AC">
            <w:pPr>
              <w:rPr>
                <w:color w:val="000000"/>
              </w:rPr>
            </w:pPr>
            <w:r w:rsidRPr="006F4D00">
              <w:rPr>
                <w:color w:val="000000"/>
                <w:sz w:val="22"/>
                <w:szCs w:val="22"/>
              </w:rPr>
              <w:t xml:space="preserve">Macao </w:t>
            </w:r>
          </w:p>
        </w:tc>
        <w:tc>
          <w:tcPr>
            <w:tcW w:w="2502" w:type="dxa"/>
            <w:tcBorders>
              <w:top w:val="nil"/>
              <w:left w:val="nil"/>
              <w:bottom w:val="nil"/>
              <w:right w:val="nil"/>
            </w:tcBorders>
            <w:shd w:val="clear" w:color="auto" w:fill="auto"/>
            <w:noWrap/>
            <w:vAlign w:val="center"/>
            <w:hideMark/>
          </w:tcPr>
          <w:p w14:paraId="54FDBF8F" w14:textId="77777777" w:rsidR="008607AC" w:rsidRPr="006F4D00" w:rsidRDefault="008607AC" w:rsidP="008607AC">
            <w:pPr>
              <w:rPr>
                <w:color w:val="000000"/>
              </w:rPr>
            </w:pPr>
            <w:r w:rsidRPr="006F4D00">
              <w:rPr>
                <w:color w:val="000000"/>
                <w:sz w:val="22"/>
                <w:szCs w:val="22"/>
              </w:rPr>
              <w:t xml:space="preserve">Paraguay </w:t>
            </w:r>
          </w:p>
        </w:tc>
        <w:tc>
          <w:tcPr>
            <w:tcW w:w="1300" w:type="dxa"/>
            <w:tcBorders>
              <w:top w:val="nil"/>
              <w:left w:val="nil"/>
              <w:bottom w:val="nil"/>
              <w:right w:val="nil"/>
            </w:tcBorders>
            <w:shd w:val="clear" w:color="auto" w:fill="auto"/>
            <w:noWrap/>
            <w:vAlign w:val="center"/>
            <w:hideMark/>
          </w:tcPr>
          <w:p w14:paraId="25AAA2B3" w14:textId="77777777" w:rsidR="008607AC" w:rsidRPr="006F4D00" w:rsidRDefault="008607AC" w:rsidP="008607AC">
            <w:pPr>
              <w:rPr>
                <w:color w:val="000000"/>
              </w:rPr>
            </w:pPr>
            <w:r w:rsidRPr="006F4D00">
              <w:rPr>
                <w:color w:val="000000"/>
                <w:sz w:val="22"/>
                <w:szCs w:val="22"/>
              </w:rPr>
              <w:t xml:space="preserve">Viet Nam </w:t>
            </w:r>
          </w:p>
        </w:tc>
      </w:tr>
      <w:tr w:rsidR="008607AC" w:rsidRPr="00D9288D" w14:paraId="300D5206" w14:textId="77777777" w:rsidTr="008607AC">
        <w:trPr>
          <w:trHeight w:val="300"/>
        </w:trPr>
        <w:tc>
          <w:tcPr>
            <w:tcW w:w="1858" w:type="dxa"/>
            <w:tcBorders>
              <w:top w:val="nil"/>
              <w:left w:val="nil"/>
              <w:bottom w:val="nil"/>
              <w:right w:val="nil"/>
            </w:tcBorders>
            <w:shd w:val="clear" w:color="auto" w:fill="auto"/>
            <w:noWrap/>
            <w:vAlign w:val="center"/>
            <w:hideMark/>
          </w:tcPr>
          <w:p w14:paraId="41ED1B49" w14:textId="77777777" w:rsidR="008607AC" w:rsidRPr="006F4D00" w:rsidRDefault="008607AC" w:rsidP="008607AC">
            <w:pPr>
              <w:rPr>
                <w:color w:val="000000"/>
              </w:rPr>
            </w:pPr>
            <w:r w:rsidRPr="006F4D00">
              <w:rPr>
                <w:color w:val="000000"/>
                <w:sz w:val="22"/>
                <w:szCs w:val="22"/>
              </w:rPr>
              <w:t xml:space="preserve">Cambodia </w:t>
            </w:r>
          </w:p>
        </w:tc>
        <w:tc>
          <w:tcPr>
            <w:tcW w:w="1985" w:type="dxa"/>
            <w:tcBorders>
              <w:top w:val="nil"/>
              <w:left w:val="nil"/>
              <w:bottom w:val="nil"/>
              <w:right w:val="nil"/>
            </w:tcBorders>
            <w:shd w:val="clear" w:color="auto" w:fill="auto"/>
            <w:noWrap/>
            <w:vAlign w:val="center"/>
            <w:hideMark/>
          </w:tcPr>
          <w:p w14:paraId="403C8BA6" w14:textId="77777777" w:rsidR="008607AC" w:rsidRPr="006F4D00" w:rsidRDefault="008607AC" w:rsidP="008607AC">
            <w:pPr>
              <w:ind w:right="-165"/>
              <w:rPr>
                <w:color w:val="000000"/>
              </w:rPr>
            </w:pPr>
            <w:r w:rsidRPr="006F4D00">
              <w:rPr>
                <w:color w:val="000000"/>
                <w:sz w:val="22"/>
                <w:szCs w:val="22"/>
              </w:rPr>
              <w:t>French Overseas</w:t>
            </w:r>
          </w:p>
        </w:tc>
        <w:tc>
          <w:tcPr>
            <w:tcW w:w="1524" w:type="dxa"/>
            <w:tcBorders>
              <w:top w:val="nil"/>
              <w:left w:val="nil"/>
              <w:bottom w:val="nil"/>
              <w:right w:val="nil"/>
            </w:tcBorders>
            <w:shd w:val="clear" w:color="auto" w:fill="auto"/>
            <w:noWrap/>
            <w:vAlign w:val="center"/>
            <w:hideMark/>
          </w:tcPr>
          <w:p w14:paraId="6DC627C2" w14:textId="77777777" w:rsidR="008607AC" w:rsidRPr="006F4D00" w:rsidRDefault="008607AC" w:rsidP="008607AC">
            <w:pPr>
              <w:rPr>
                <w:color w:val="000000"/>
              </w:rPr>
            </w:pPr>
            <w:r w:rsidRPr="006F4D00">
              <w:rPr>
                <w:color w:val="000000"/>
                <w:sz w:val="22"/>
                <w:szCs w:val="22"/>
              </w:rPr>
              <w:t xml:space="preserve">Malawi </w:t>
            </w:r>
          </w:p>
        </w:tc>
        <w:tc>
          <w:tcPr>
            <w:tcW w:w="2502" w:type="dxa"/>
            <w:tcBorders>
              <w:top w:val="nil"/>
              <w:left w:val="nil"/>
              <w:bottom w:val="nil"/>
              <w:right w:val="nil"/>
            </w:tcBorders>
            <w:shd w:val="clear" w:color="auto" w:fill="auto"/>
            <w:noWrap/>
            <w:vAlign w:val="center"/>
            <w:hideMark/>
          </w:tcPr>
          <w:p w14:paraId="65F0301D" w14:textId="77777777" w:rsidR="008607AC" w:rsidRPr="006F4D00" w:rsidRDefault="008607AC" w:rsidP="008607AC">
            <w:pPr>
              <w:rPr>
                <w:color w:val="000000"/>
              </w:rPr>
            </w:pPr>
            <w:r w:rsidRPr="006F4D00">
              <w:rPr>
                <w:color w:val="000000"/>
                <w:sz w:val="22"/>
                <w:szCs w:val="22"/>
              </w:rPr>
              <w:t xml:space="preserve">Rwanda </w:t>
            </w:r>
          </w:p>
        </w:tc>
        <w:tc>
          <w:tcPr>
            <w:tcW w:w="1300" w:type="dxa"/>
            <w:tcBorders>
              <w:top w:val="nil"/>
              <w:left w:val="nil"/>
              <w:bottom w:val="nil"/>
              <w:right w:val="nil"/>
            </w:tcBorders>
            <w:shd w:val="clear" w:color="auto" w:fill="auto"/>
            <w:noWrap/>
            <w:vAlign w:val="center"/>
            <w:hideMark/>
          </w:tcPr>
          <w:p w14:paraId="4A72C571" w14:textId="77777777" w:rsidR="008607AC" w:rsidRPr="006F4D00" w:rsidRDefault="008607AC" w:rsidP="008607AC">
            <w:pPr>
              <w:rPr>
                <w:color w:val="000000"/>
              </w:rPr>
            </w:pPr>
            <w:r w:rsidRPr="006F4D00">
              <w:rPr>
                <w:color w:val="000000"/>
                <w:sz w:val="22"/>
                <w:szCs w:val="22"/>
              </w:rPr>
              <w:t>Zambia</w:t>
            </w:r>
          </w:p>
        </w:tc>
      </w:tr>
      <w:tr w:rsidR="008607AC" w:rsidRPr="00D9288D" w14:paraId="1E1B3F4C" w14:textId="77777777" w:rsidTr="008607AC">
        <w:trPr>
          <w:trHeight w:val="320"/>
        </w:trPr>
        <w:tc>
          <w:tcPr>
            <w:tcW w:w="1858" w:type="dxa"/>
            <w:tcBorders>
              <w:top w:val="nil"/>
              <w:left w:val="nil"/>
              <w:bottom w:val="single" w:sz="8" w:space="0" w:color="auto"/>
              <w:right w:val="nil"/>
            </w:tcBorders>
            <w:shd w:val="clear" w:color="auto" w:fill="auto"/>
            <w:noWrap/>
            <w:vAlign w:val="center"/>
            <w:hideMark/>
          </w:tcPr>
          <w:p w14:paraId="0A107F15" w14:textId="77777777" w:rsidR="008607AC" w:rsidRPr="006F4D00" w:rsidRDefault="008607AC" w:rsidP="008607AC">
            <w:pPr>
              <w:rPr>
                <w:color w:val="000000"/>
              </w:rPr>
            </w:pPr>
            <w:r w:rsidRPr="006F4D00">
              <w:rPr>
                <w:color w:val="000000"/>
                <w:sz w:val="22"/>
                <w:szCs w:val="22"/>
              </w:rPr>
              <w:t xml:space="preserve">Cen. African Rep </w:t>
            </w:r>
          </w:p>
        </w:tc>
        <w:tc>
          <w:tcPr>
            <w:tcW w:w="1985" w:type="dxa"/>
            <w:tcBorders>
              <w:top w:val="nil"/>
              <w:left w:val="nil"/>
              <w:bottom w:val="single" w:sz="8" w:space="0" w:color="auto"/>
              <w:right w:val="nil"/>
            </w:tcBorders>
            <w:shd w:val="clear" w:color="auto" w:fill="auto"/>
            <w:noWrap/>
            <w:vAlign w:val="center"/>
            <w:hideMark/>
          </w:tcPr>
          <w:p w14:paraId="35E8065F" w14:textId="77777777" w:rsidR="008607AC" w:rsidRPr="006F4D00" w:rsidRDefault="008607AC" w:rsidP="008607AC">
            <w:pPr>
              <w:rPr>
                <w:color w:val="000000"/>
              </w:rPr>
            </w:pPr>
            <w:r w:rsidRPr="006F4D00">
              <w:rPr>
                <w:color w:val="000000"/>
                <w:sz w:val="22"/>
                <w:szCs w:val="22"/>
              </w:rPr>
              <w:t xml:space="preserve">Gabon </w:t>
            </w:r>
          </w:p>
        </w:tc>
        <w:tc>
          <w:tcPr>
            <w:tcW w:w="1524" w:type="dxa"/>
            <w:tcBorders>
              <w:top w:val="nil"/>
              <w:left w:val="nil"/>
              <w:bottom w:val="single" w:sz="8" w:space="0" w:color="auto"/>
              <w:right w:val="nil"/>
            </w:tcBorders>
            <w:shd w:val="clear" w:color="auto" w:fill="auto"/>
            <w:noWrap/>
            <w:vAlign w:val="center"/>
            <w:hideMark/>
          </w:tcPr>
          <w:p w14:paraId="214937C4" w14:textId="77777777" w:rsidR="008607AC" w:rsidRPr="006F4D00" w:rsidRDefault="008607AC" w:rsidP="008607AC">
            <w:pPr>
              <w:rPr>
                <w:color w:val="000000"/>
              </w:rPr>
            </w:pPr>
            <w:r w:rsidRPr="006F4D00">
              <w:rPr>
                <w:color w:val="000000"/>
                <w:sz w:val="22"/>
                <w:szCs w:val="22"/>
              </w:rPr>
              <w:t xml:space="preserve">Mali </w:t>
            </w:r>
          </w:p>
        </w:tc>
        <w:tc>
          <w:tcPr>
            <w:tcW w:w="2502" w:type="dxa"/>
            <w:tcBorders>
              <w:top w:val="nil"/>
              <w:left w:val="nil"/>
              <w:bottom w:val="single" w:sz="8" w:space="0" w:color="auto"/>
              <w:right w:val="nil"/>
            </w:tcBorders>
            <w:shd w:val="clear" w:color="auto" w:fill="auto"/>
            <w:noWrap/>
            <w:vAlign w:val="center"/>
            <w:hideMark/>
          </w:tcPr>
          <w:p w14:paraId="10ED1819" w14:textId="77777777" w:rsidR="008607AC" w:rsidRPr="006F4D00" w:rsidRDefault="008607AC" w:rsidP="008607AC">
            <w:pPr>
              <w:rPr>
                <w:color w:val="000000"/>
              </w:rPr>
            </w:pPr>
            <w:r w:rsidRPr="006F4D00">
              <w:rPr>
                <w:color w:val="000000"/>
                <w:sz w:val="22"/>
                <w:szCs w:val="22"/>
              </w:rPr>
              <w:t xml:space="preserve">St. Pierre Miquelon </w:t>
            </w:r>
          </w:p>
        </w:tc>
        <w:tc>
          <w:tcPr>
            <w:tcW w:w="1300" w:type="dxa"/>
            <w:tcBorders>
              <w:top w:val="nil"/>
              <w:left w:val="nil"/>
              <w:bottom w:val="single" w:sz="8" w:space="0" w:color="auto"/>
              <w:right w:val="nil"/>
            </w:tcBorders>
            <w:shd w:val="clear" w:color="auto" w:fill="auto"/>
            <w:noWrap/>
            <w:vAlign w:val="center"/>
            <w:hideMark/>
          </w:tcPr>
          <w:p w14:paraId="72C22BE7" w14:textId="77777777" w:rsidR="008607AC" w:rsidRPr="006F4D00" w:rsidRDefault="008607AC" w:rsidP="008607AC">
            <w:pPr>
              <w:rPr>
                <w:color w:val="000000"/>
              </w:rPr>
            </w:pPr>
            <w:r w:rsidRPr="006F4D00">
              <w:rPr>
                <w:color w:val="000000"/>
                <w:sz w:val="22"/>
                <w:szCs w:val="22"/>
              </w:rPr>
              <w:t>Zimbabwe</w:t>
            </w:r>
          </w:p>
        </w:tc>
      </w:tr>
    </w:tbl>
    <w:p w14:paraId="1657FC30" w14:textId="77777777" w:rsidR="008607AC" w:rsidRDefault="008607AC" w:rsidP="008607AC"/>
    <w:p w14:paraId="48726C0B" w14:textId="77777777" w:rsidR="008607AC" w:rsidRDefault="008607AC">
      <w:pPr>
        <w:spacing w:after="200" w:line="276" w:lineRule="auto"/>
        <w:rPr>
          <w:b/>
        </w:rPr>
      </w:pPr>
      <w:r>
        <w:rPr>
          <w:b/>
        </w:rPr>
        <w:br w:type="page"/>
      </w:r>
    </w:p>
    <w:p w14:paraId="68A7BB15" w14:textId="77777777" w:rsidR="008607AC" w:rsidRPr="008607AC" w:rsidRDefault="008607AC" w:rsidP="00A738AC">
      <w:pPr>
        <w:pStyle w:val="Caption"/>
        <w:keepNext/>
        <w:rPr>
          <w:rFonts w:ascii="Times New Roman" w:hAnsi="Times New Roman"/>
          <w:color w:val="auto"/>
          <w:sz w:val="24"/>
          <w:szCs w:val="24"/>
        </w:rPr>
      </w:pPr>
      <w:r w:rsidRPr="008607AC">
        <w:rPr>
          <w:rFonts w:ascii="Times New Roman" w:hAnsi="Times New Roman"/>
          <w:color w:val="auto"/>
          <w:sz w:val="24"/>
          <w:szCs w:val="24"/>
        </w:rPr>
        <w:lastRenderedPageBreak/>
        <w:t xml:space="preserve">Appendix Table </w:t>
      </w:r>
      <w:r>
        <w:rPr>
          <w:rFonts w:ascii="Times New Roman" w:hAnsi="Times New Roman"/>
          <w:color w:val="auto"/>
          <w:sz w:val="24"/>
          <w:szCs w:val="24"/>
        </w:rPr>
        <w:t>4:</w:t>
      </w:r>
      <w:r w:rsidR="005F1642">
        <w:rPr>
          <w:rFonts w:ascii="Times New Roman" w:hAnsi="Times New Roman"/>
          <w:color w:val="auto"/>
          <w:sz w:val="24"/>
          <w:szCs w:val="24"/>
        </w:rPr>
        <w:t xml:space="preserve"> List of industries </w:t>
      </w:r>
    </w:p>
    <w:p w14:paraId="05C113B6" w14:textId="77777777" w:rsidR="008607AC" w:rsidRPr="00C66168" w:rsidRDefault="008607AC" w:rsidP="008607AC">
      <w:r w:rsidRPr="00C66168">
        <w:t>Panel A: Containerizable products at the 4-digit SITC level as of 1968 (688 products)</w:t>
      </w:r>
    </w:p>
    <w:tbl>
      <w:tblPr>
        <w:tblW w:w="8670" w:type="dxa"/>
        <w:tblInd w:w="93" w:type="dxa"/>
        <w:tblLook w:val="04A0" w:firstRow="1" w:lastRow="0" w:firstColumn="1" w:lastColumn="0" w:noHBand="0" w:noVBand="1"/>
      </w:tblPr>
      <w:tblGrid>
        <w:gridCol w:w="1217"/>
        <w:gridCol w:w="7453"/>
      </w:tblGrid>
      <w:tr w:rsidR="008607AC" w:rsidRPr="006F4D00" w14:paraId="414F58B8" w14:textId="77777777" w:rsidTr="008607AC">
        <w:trPr>
          <w:trHeight w:hRule="exact" w:val="227"/>
        </w:trPr>
        <w:tc>
          <w:tcPr>
            <w:tcW w:w="1217" w:type="dxa"/>
            <w:tcBorders>
              <w:top w:val="nil"/>
              <w:left w:val="nil"/>
              <w:bottom w:val="nil"/>
              <w:right w:val="nil"/>
            </w:tcBorders>
            <w:shd w:val="clear" w:color="auto" w:fill="auto"/>
            <w:noWrap/>
            <w:vAlign w:val="bottom"/>
            <w:hideMark/>
          </w:tcPr>
          <w:p w14:paraId="5B1DE2FD" w14:textId="77777777" w:rsidR="008607AC" w:rsidRPr="006F4D00" w:rsidRDefault="008607AC" w:rsidP="008607AC">
            <w:pPr>
              <w:rPr>
                <w:b/>
                <w:color w:val="000000"/>
                <w:sz w:val="20"/>
                <w:szCs w:val="20"/>
              </w:rPr>
            </w:pPr>
            <w:r w:rsidRPr="006F4D00">
              <w:rPr>
                <w:b/>
                <w:color w:val="000000"/>
                <w:sz w:val="20"/>
                <w:szCs w:val="20"/>
              </w:rPr>
              <w:t xml:space="preserve">Code </w:t>
            </w:r>
          </w:p>
        </w:tc>
        <w:tc>
          <w:tcPr>
            <w:tcW w:w="7453" w:type="dxa"/>
            <w:tcBorders>
              <w:top w:val="nil"/>
              <w:left w:val="nil"/>
              <w:bottom w:val="nil"/>
              <w:right w:val="nil"/>
            </w:tcBorders>
            <w:shd w:val="clear" w:color="auto" w:fill="auto"/>
            <w:noWrap/>
            <w:vAlign w:val="bottom"/>
            <w:hideMark/>
          </w:tcPr>
          <w:p w14:paraId="2499F4C1" w14:textId="77777777" w:rsidR="008607AC" w:rsidRPr="006F4D00" w:rsidRDefault="008607AC" w:rsidP="008607AC">
            <w:pPr>
              <w:rPr>
                <w:b/>
                <w:color w:val="000000"/>
                <w:sz w:val="20"/>
                <w:szCs w:val="20"/>
              </w:rPr>
            </w:pPr>
            <w:r w:rsidRPr="006F4D00">
              <w:rPr>
                <w:b/>
                <w:color w:val="000000"/>
                <w:sz w:val="20"/>
                <w:szCs w:val="20"/>
              </w:rPr>
              <w:t xml:space="preserve"> Good Description (number of underlying 4-digit products) </w:t>
            </w:r>
          </w:p>
        </w:tc>
      </w:tr>
      <w:tr w:rsidR="008607AC" w:rsidRPr="006F4D00" w14:paraId="750CDEBA" w14:textId="77777777" w:rsidTr="008607AC">
        <w:trPr>
          <w:trHeight w:hRule="exact" w:val="227"/>
        </w:trPr>
        <w:tc>
          <w:tcPr>
            <w:tcW w:w="1217" w:type="dxa"/>
            <w:tcBorders>
              <w:top w:val="nil"/>
              <w:left w:val="nil"/>
              <w:bottom w:val="nil"/>
              <w:right w:val="nil"/>
            </w:tcBorders>
            <w:shd w:val="clear" w:color="auto" w:fill="auto"/>
            <w:noWrap/>
            <w:vAlign w:val="bottom"/>
            <w:hideMark/>
          </w:tcPr>
          <w:p w14:paraId="1C0B650F" w14:textId="77777777" w:rsidR="008607AC" w:rsidRPr="006F4D00" w:rsidRDefault="008607AC" w:rsidP="008607AC">
            <w:pPr>
              <w:rPr>
                <w:color w:val="000000"/>
                <w:sz w:val="20"/>
                <w:szCs w:val="20"/>
              </w:rPr>
            </w:pPr>
            <w:r w:rsidRPr="006F4D00">
              <w:rPr>
                <w:color w:val="000000"/>
                <w:sz w:val="20"/>
                <w:szCs w:val="20"/>
              </w:rPr>
              <w:t>35</w:t>
            </w:r>
          </w:p>
        </w:tc>
        <w:tc>
          <w:tcPr>
            <w:tcW w:w="7453" w:type="dxa"/>
            <w:tcBorders>
              <w:top w:val="nil"/>
              <w:left w:val="nil"/>
              <w:bottom w:val="nil"/>
              <w:right w:val="nil"/>
            </w:tcBorders>
            <w:shd w:val="clear" w:color="auto" w:fill="auto"/>
            <w:noWrap/>
            <w:vAlign w:val="bottom"/>
            <w:hideMark/>
          </w:tcPr>
          <w:p w14:paraId="7C30BE99" w14:textId="77777777" w:rsidR="008607AC" w:rsidRPr="006F4D00" w:rsidRDefault="008607AC" w:rsidP="008607AC">
            <w:pPr>
              <w:rPr>
                <w:color w:val="000000"/>
                <w:sz w:val="20"/>
                <w:szCs w:val="20"/>
              </w:rPr>
            </w:pPr>
            <w:r w:rsidRPr="006F4D00">
              <w:rPr>
                <w:color w:val="000000"/>
                <w:sz w:val="20"/>
                <w:szCs w:val="20"/>
              </w:rPr>
              <w:t xml:space="preserve"> Fish, dried, salted or in brine smoked fish (1) </w:t>
            </w:r>
          </w:p>
        </w:tc>
      </w:tr>
      <w:tr w:rsidR="008607AC" w:rsidRPr="006F4D00" w14:paraId="5659B133" w14:textId="77777777" w:rsidTr="008607AC">
        <w:trPr>
          <w:trHeight w:hRule="exact" w:val="227"/>
        </w:trPr>
        <w:tc>
          <w:tcPr>
            <w:tcW w:w="1217" w:type="dxa"/>
            <w:tcBorders>
              <w:top w:val="nil"/>
              <w:left w:val="nil"/>
              <w:bottom w:val="nil"/>
              <w:right w:val="nil"/>
            </w:tcBorders>
            <w:shd w:val="clear" w:color="auto" w:fill="auto"/>
            <w:noWrap/>
            <w:vAlign w:val="bottom"/>
            <w:hideMark/>
          </w:tcPr>
          <w:p w14:paraId="09C97C2F" w14:textId="77777777" w:rsidR="008607AC" w:rsidRPr="006F4D00" w:rsidRDefault="008607AC" w:rsidP="008607AC">
            <w:pPr>
              <w:rPr>
                <w:color w:val="000000"/>
                <w:sz w:val="20"/>
                <w:szCs w:val="20"/>
              </w:rPr>
            </w:pPr>
            <w:r w:rsidRPr="006F4D00">
              <w:rPr>
                <w:color w:val="000000"/>
                <w:sz w:val="20"/>
                <w:szCs w:val="20"/>
              </w:rPr>
              <w:t>37</w:t>
            </w:r>
          </w:p>
        </w:tc>
        <w:tc>
          <w:tcPr>
            <w:tcW w:w="7453" w:type="dxa"/>
            <w:tcBorders>
              <w:top w:val="nil"/>
              <w:left w:val="nil"/>
              <w:bottom w:val="nil"/>
              <w:right w:val="nil"/>
            </w:tcBorders>
            <w:shd w:val="clear" w:color="auto" w:fill="auto"/>
            <w:noWrap/>
            <w:vAlign w:val="bottom"/>
            <w:hideMark/>
          </w:tcPr>
          <w:p w14:paraId="11ADDF3C" w14:textId="77777777" w:rsidR="008607AC" w:rsidRPr="006F4D00" w:rsidRDefault="008607AC" w:rsidP="008607AC">
            <w:pPr>
              <w:rPr>
                <w:color w:val="000000"/>
                <w:sz w:val="20"/>
                <w:szCs w:val="20"/>
              </w:rPr>
            </w:pPr>
            <w:r w:rsidRPr="006F4D00">
              <w:rPr>
                <w:color w:val="000000"/>
                <w:sz w:val="20"/>
                <w:szCs w:val="20"/>
              </w:rPr>
              <w:t xml:space="preserve"> Fish, crustaceans and molluscs, prepared or preserved (3) </w:t>
            </w:r>
          </w:p>
        </w:tc>
      </w:tr>
      <w:tr w:rsidR="008607AC" w:rsidRPr="006F4D00" w14:paraId="713D98A7" w14:textId="77777777" w:rsidTr="008607AC">
        <w:trPr>
          <w:trHeight w:hRule="exact" w:val="227"/>
        </w:trPr>
        <w:tc>
          <w:tcPr>
            <w:tcW w:w="1217" w:type="dxa"/>
            <w:tcBorders>
              <w:top w:val="nil"/>
              <w:left w:val="nil"/>
              <w:bottom w:val="nil"/>
              <w:right w:val="nil"/>
            </w:tcBorders>
            <w:shd w:val="clear" w:color="auto" w:fill="auto"/>
            <w:noWrap/>
            <w:vAlign w:val="bottom"/>
            <w:hideMark/>
          </w:tcPr>
          <w:p w14:paraId="49EFD867" w14:textId="77777777" w:rsidR="008607AC" w:rsidRPr="006F4D00" w:rsidRDefault="008607AC" w:rsidP="008607AC">
            <w:pPr>
              <w:rPr>
                <w:color w:val="000000"/>
                <w:sz w:val="20"/>
                <w:szCs w:val="20"/>
              </w:rPr>
            </w:pPr>
            <w:r w:rsidRPr="006F4D00">
              <w:rPr>
                <w:color w:val="000000"/>
                <w:sz w:val="20"/>
                <w:szCs w:val="20"/>
              </w:rPr>
              <w:t>42</w:t>
            </w:r>
          </w:p>
        </w:tc>
        <w:tc>
          <w:tcPr>
            <w:tcW w:w="7453" w:type="dxa"/>
            <w:tcBorders>
              <w:top w:val="nil"/>
              <w:left w:val="nil"/>
              <w:bottom w:val="nil"/>
              <w:right w:val="nil"/>
            </w:tcBorders>
            <w:shd w:val="clear" w:color="auto" w:fill="auto"/>
            <w:noWrap/>
            <w:vAlign w:val="bottom"/>
            <w:hideMark/>
          </w:tcPr>
          <w:p w14:paraId="114DD052" w14:textId="77777777" w:rsidR="008607AC" w:rsidRPr="006F4D00" w:rsidRDefault="008607AC" w:rsidP="008607AC">
            <w:pPr>
              <w:rPr>
                <w:color w:val="000000"/>
                <w:sz w:val="20"/>
                <w:szCs w:val="20"/>
              </w:rPr>
            </w:pPr>
            <w:r w:rsidRPr="006F4D00">
              <w:rPr>
                <w:color w:val="000000"/>
                <w:sz w:val="20"/>
                <w:szCs w:val="20"/>
              </w:rPr>
              <w:t xml:space="preserve"> Rice (3) </w:t>
            </w:r>
          </w:p>
        </w:tc>
      </w:tr>
      <w:tr w:rsidR="008607AC" w:rsidRPr="006F4D00" w14:paraId="371F7C7E" w14:textId="77777777" w:rsidTr="008607AC">
        <w:trPr>
          <w:trHeight w:hRule="exact" w:val="227"/>
        </w:trPr>
        <w:tc>
          <w:tcPr>
            <w:tcW w:w="1217" w:type="dxa"/>
            <w:tcBorders>
              <w:top w:val="nil"/>
              <w:left w:val="nil"/>
              <w:bottom w:val="nil"/>
              <w:right w:val="nil"/>
            </w:tcBorders>
            <w:shd w:val="clear" w:color="auto" w:fill="auto"/>
            <w:noWrap/>
            <w:vAlign w:val="bottom"/>
            <w:hideMark/>
          </w:tcPr>
          <w:p w14:paraId="631627B7" w14:textId="77777777" w:rsidR="008607AC" w:rsidRPr="006F4D00" w:rsidRDefault="008607AC" w:rsidP="008607AC">
            <w:pPr>
              <w:rPr>
                <w:color w:val="000000"/>
                <w:sz w:val="20"/>
                <w:szCs w:val="20"/>
              </w:rPr>
            </w:pPr>
            <w:r w:rsidRPr="006F4D00">
              <w:rPr>
                <w:color w:val="000000"/>
                <w:sz w:val="20"/>
                <w:szCs w:val="20"/>
              </w:rPr>
              <w:t>46</w:t>
            </w:r>
          </w:p>
        </w:tc>
        <w:tc>
          <w:tcPr>
            <w:tcW w:w="7453" w:type="dxa"/>
            <w:tcBorders>
              <w:top w:val="nil"/>
              <w:left w:val="nil"/>
              <w:bottom w:val="nil"/>
              <w:right w:val="nil"/>
            </w:tcBorders>
            <w:shd w:val="clear" w:color="auto" w:fill="auto"/>
            <w:noWrap/>
            <w:vAlign w:val="bottom"/>
            <w:hideMark/>
          </w:tcPr>
          <w:p w14:paraId="63FE8ACB" w14:textId="77777777" w:rsidR="008607AC" w:rsidRPr="006F4D00" w:rsidRDefault="008607AC" w:rsidP="008607AC">
            <w:pPr>
              <w:rPr>
                <w:color w:val="000000"/>
                <w:sz w:val="20"/>
                <w:szCs w:val="20"/>
              </w:rPr>
            </w:pPr>
            <w:r w:rsidRPr="006F4D00">
              <w:rPr>
                <w:color w:val="000000"/>
                <w:sz w:val="20"/>
                <w:szCs w:val="20"/>
              </w:rPr>
              <w:t xml:space="preserve"> Meal and flour of wheat and flour of meslin (1) </w:t>
            </w:r>
          </w:p>
        </w:tc>
      </w:tr>
      <w:tr w:rsidR="008607AC" w:rsidRPr="006F4D00" w14:paraId="7384DA19" w14:textId="77777777" w:rsidTr="008607AC">
        <w:trPr>
          <w:trHeight w:hRule="exact" w:val="227"/>
        </w:trPr>
        <w:tc>
          <w:tcPr>
            <w:tcW w:w="1217" w:type="dxa"/>
            <w:tcBorders>
              <w:top w:val="nil"/>
              <w:left w:val="nil"/>
              <w:bottom w:val="nil"/>
              <w:right w:val="nil"/>
            </w:tcBorders>
            <w:shd w:val="clear" w:color="auto" w:fill="auto"/>
            <w:noWrap/>
            <w:vAlign w:val="bottom"/>
            <w:hideMark/>
          </w:tcPr>
          <w:p w14:paraId="4DF7B315" w14:textId="77777777" w:rsidR="008607AC" w:rsidRPr="006F4D00" w:rsidRDefault="008607AC" w:rsidP="008607AC">
            <w:pPr>
              <w:rPr>
                <w:color w:val="000000"/>
                <w:sz w:val="20"/>
                <w:szCs w:val="20"/>
              </w:rPr>
            </w:pPr>
            <w:r w:rsidRPr="006F4D00">
              <w:rPr>
                <w:color w:val="000000"/>
                <w:sz w:val="20"/>
                <w:szCs w:val="20"/>
              </w:rPr>
              <w:t>47</w:t>
            </w:r>
          </w:p>
        </w:tc>
        <w:tc>
          <w:tcPr>
            <w:tcW w:w="7453" w:type="dxa"/>
            <w:tcBorders>
              <w:top w:val="nil"/>
              <w:left w:val="nil"/>
              <w:bottom w:val="nil"/>
              <w:right w:val="nil"/>
            </w:tcBorders>
            <w:shd w:val="clear" w:color="auto" w:fill="auto"/>
            <w:noWrap/>
            <w:vAlign w:val="bottom"/>
            <w:hideMark/>
          </w:tcPr>
          <w:p w14:paraId="329E0725" w14:textId="77777777" w:rsidR="008607AC" w:rsidRPr="006F4D00" w:rsidRDefault="008607AC" w:rsidP="008607AC">
            <w:pPr>
              <w:rPr>
                <w:color w:val="000000"/>
                <w:sz w:val="20"/>
                <w:szCs w:val="20"/>
              </w:rPr>
            </w:pPr>
            <w:r w:rsidRPr="006F4D00">
              <w:rPr>
                <w:color w:val="000000"/>
                <w:sz w:val="20"/>
                <w:szCs w:val="20"/>
              </w:rPr>
              <w:t xml:space="preserve"> Other cereal meals and flours (1) </w:t>
            </w:r>
          </w:p>
        </w:tc>
      </w:tr>
      <w:tr w:rsidR="008607AC" w:rsidRPr="006F4D00" w14:paraId="0E9F30BB" w14:textId="77777777" w:rsidTr="008607AC">
        <w:trPr>
          <w:trHeight w:hRule="exact" w:val="227"/>
        </w:trPr>
        <w:tc>
          <w:tcPr>
            <w:tcW w:w="1217" w:type="dxa"/>
            <w:tcBorders>
              <w:top w:val="nil"/>
              <w:left w:val="nil"/>
              <w:bottom w:val="nil"/>
              <w:right w:val="nil"/>
            </w:tcBorders>
            <w:shd w:val="clear" w:color="auto" w:fill="auto"/>
            <w:noWrap/>
            <w:vAlign w:val="bottom"/>
            <w:hideMark/>
          </w:tcPr>
          <w:p w14:paraId="4AAFF21C" w14:textId="77777777" w:rsidR="008607AC" w:rsidRPr="006F4D00" w:rsidRDefault="008607AC" w:rsidP="008607AC">
            <w:pPr>
              <w:rPr>
                <w:color w:val="000000"/>
                <w:sz w:val="20"/>
                <w:szCs w:val="20"/>
              </w:rPr>
            </w:pPr>
            <w:r w:rsidRPr="006F4D00">
              <w:rPr>
                <w:color w:val="000000"/>
                <w:sz w:val="20"/>
                <w:szCs w:val="20"/>
              </w:rPr>
              <w:t>48</w:t>
            </w:r>
          </w:p>
        </w:tc>
        <w:tc>
          <w:tcPr>
            <w:tcW w:w="7453" w:type="dxa"/>
            <w:tcBorders>
              <w:top w:val="nil"/>
              <w:left w:val="nil"/>
              <w:bottom w:val="nil"/>
              <w:right w:val="nil"/>
            </w:tcBorders>
            <w:shd w:val="clear" w:color="auto" w:fill="auto"/>
            <w:noWrap/>
            <w:vAlign w:val="bottom"/>
            <w:hideMark/>
          </w:tcPr>
          <w:p w14:paraId="5AE7EDEB" w14:textId="77777777" w:rsidR="008607AC" w:rsidRPr="006F4D00" w:rsidRDefault="008607AC" w:rsidP="008607AC">
            <w:pPr>
              <w:rPr>
                <w:color w:val="000000"/>
                <w:sz w:val="20"/>
                <w:szCs w:val="20"/>
              </w:rPr>
            </w:pPr>
            <w:r w:rsidRPr="006F4D00">
              <w:rPr>
                <w:color w:val="000000"/>
                <w:sz w:val="20"/>
                <w:szCs w:val="20"/>
              </w:rPr>
              <w:t xml:space="preserve"> Cereal preparations &amp;  preparations of flour of fruits or vegetables (6)</w:t>
            </w:r>
          </w:p>
        </w:tc>
      </w:tr>
      <w:tr w:rsidR="008607AC" w:rsidRPr="006F4D00" w14:paraId="69B4804B" w14:textId="77777777" w:rsidTr="008607AC">
        <w:trPr>
          <w:trHeight w:hRule="exact" w:val="227"/>
        </w:trPr>
        <w:tc>
          <w:tcPr>
            <w:tcW w:w="1217" w:type="dxa"/>
            <w:tcBorders>
              <w:top w:val="nil"/>
              <w:left w:val="nil"/>
              <w:bottom w:val="nil"/>
              <w:right w:val="nil"/>
            </w:tcBorders>
            <w:shd w:val="clear" w:color="auto" w:fill="auto"/>
            <w:noWrap/>
            <w:vAlign w:val="bottom"/>
            <w:hideMark/>
          </w:tcPr>
          <w:p w14:paraId="0C1D400B" w14:textId="77777777" w:rsidR="008607AC" w:rsidRPr="006F4D00" w:rsidRDefault="008607AC" w:rsidP="008607AC">
            <w:pPr>
              <w:rPr>
                <w:color w:val="000000"/>
                <w:sz w:val="20"/>
                <w:szCs w:val="20"/>
              </w:rPr>
            </w:pPr>
            <w:r w:rsidRPr="006F4D00">
              <w:rPr>
                <w:color w:val="000000"/>
                <w:sz w:val="20"/>
                <w:szCs w:val="20"/>
              </w:rPr>
              <w:t>56</w:t>
            </w:r>
          </w:p>
        </w:tc>
        <w:tc>
          <w:tcPr>
            <w:tcW w:w="7453" w:type="dxa"/>
            <w:tcBorders>
              <w:top w:val="nil"/>
              <w:left w:val="nil"/>
              <w:bottom w:val="nil"/>
              <w:right w:val="nil"/>
            </w:tcBorders>
            <w:shd w:val="clear" w:color="auto" w:fill="auto"/>
            <w:noWrap/>
            <w:vAlign w:val="bottom"/>
            <w:hideMark/>
          </w:tcPr>
          <w:p w14:paraId="592E8BC2" w14:textId="77777777" w:rsidR="008607AC" w:rsidRPr="006F4D00" w:rsidRDefault="008607AC" w:rsidP="008607AC">
            <w:pPr>
              <w:rPr>
                <w:color w:val="000000"/>
                <w:sz w:val="20"/>
                <w:szCs w:val="20"/>
              </w:rPr>
            </w:pPr>
            <w:r w:rsidRPr="006F4D00">
              <w:rPr>
                <w:color w:val="000000"/>
                <w:sz w:val="20"/>
                <w:szCs w:val="20"/>
              </w:rPr>
              <w:t xml:space="preserve"> Vegetables, roots &amp; tubers, prepared/preserved, n.e.s. (4)</w:t>
            </w:r>
          </w:p>
        </w:tc>
      </w:tr>
      <w:tr w:rsidR="008607AC" w:rsidRPr="006F4D00" w14:paraId="35C554F5" w14:textId="77777777" w:rsidTr="008607AC">
        <w:trPr>
          <w:trHeight w:hRule="exact" w:val="227"/>
        </w:trPr>
        <w:tc>
          <w:tcPr>
            <w:tcW w:w="1217" w:type="dxa"/>
            <w:tcBorders>
              <w:top w:val="nil"/>
              <w:left w:val="nil"/>
              <w:bottom w:val="nil"/>
              <w:right w:val="nil"/>
            </w:tcBorders>
            <w:shd w:val="clear" w:color="auto" w:fill="auto"/>
            <w:noWrap/>
            <w:vAlign w:val="bottom"/>
            <w:hideMark/>
          </w:tcPr>
          <w:p w14:paraId="4CAAAFE3" w14:textId="77777777" w:rsidR="008607AC" w:rsidRPr="006F4D00" w:rsidRDefault="008607AC" w:rsidP="008607AC">
            <w:pPr>
              <w:rPr>
                <w:color w:val="000000"/>
                <w:sz w:val="20"/>
                <w:szCs w:val="20"/>
              </w:rPr>
            </w:pPr>
            <w:r w:rsidRPr="006F4D00">
              <w:rPr>
                <w:color w:val="000000"/>
                <w:sz w:val="20"/>
                <w:szCs w:val="20"/>
              </w:rPr>
              <w:t>58</w:t>
            </w:r>
          </w:p>
        </w:tc>
        <w:tc>
          <w:tcPr>
            <w:tcW w:w="7453" w:type="dxa"/>
            <w:tcBorders>
              <w:top w:val="nil"/>
              <w:left w:val="nil"/>
              <w:bottom w:val="nil"/>
              <w:right w:val="nil"/>
            </w:tcBorders>
            <w:shd w:val="clear" w:color="auto" w:fill="auto"/>
            <w:noWrap/>
            <w:vAlign w:val="bottom"/>
            <w:hideMark/>
          </w:tcPr>
          <w:p w14:paraId="4B2A6DDB" w14:textId="77777777" w:rsidR="008607AC" w:rsidRPr="006F4D00" w:rsidRDefault="008607AC" w:rsidP="008607AC">
            <w:pPr>
              <w:rPr>
                <w:color w:val="000000"/>
                <w:sz w:val="20"/>
                <w:szCs w:val="20"/>
              </w:rPr>
            </w:pPr>
            <w:r w:rsidRPr="006F4D00">
              <w:rPr>
                <w:color w:val="000000"/>
                <w:sz w:val="20"/>
                <w:szCs w:val="20"/>
              </w:rPr>
              <w:t xml:space="preserve"> Fruit, preserved, and fruit preparations (1) </w:t>
            </w:r>
          </w:p>
        </w:tc>
      </w:tr>
      <w:tr w:rsidR="008607AC" w:rsidRPr="006F4D00" w14:paraId="016A7E8F" w14:textId="77777777" w:rsidTr="008607AC">
        <w:trPr>
          <w:trHeight w:hRule="exact" w:val="227"/>
        </w:trPr>
        <w:tc>
          <w:tcPr>
            <w:tcW w:w="1217" w:type="dxa"/>
            <w:tcBorders>
              <w:top w:val="nil"/>
              <w:left w:val="nil"/>
              <w:bottom w:val="nil"/>
              <w:right w:val="nil"/>
            </w:tcBorders>
            <w:shd w:val="clear" w:color="auto" w:fill="auto"/>
            <w:noWrap/>
            <w:vAlign w:val="bottom"/>
            <w:hideMark/>
          </w:tcPr>
          <w:p w14:paraId="6E591225" w14:textId="77777777" w:rsidR="008607AC" w:rsidRPr="006F4D00" w:rsidRDefault="008607AC" w:rsidP="008607AC">
            <w:pPr>
              <w:rPr>
                <w:color w:val="000000"/>
                <w:sz w:val="20"/>
                <w:szCs w:val="20"/>
              </w:rPr>
            </w:pPr>
            <w:r w:rsidRPr="006F4D00">
              <w:rPr>
                <w:color w:val="000000"/>
                <w:sz w:val="20"/>
                <w:szCs w:val="20"/>
              </w:rPr>
              <w:t>61</w:t>
            </w:r>
          </w:p>
        </w:tc>
        <w:tc>
          <w:tcPr>
            <w:tcW w:w="7453" w:type="dxa"/>
            <w:tcBorders>
              <w:top w:val="nil"/>
              <w:left w:val="nil"/>
              <w:bottom w:val="nil"/>
              <w:right w:val="nil"/>
            </w:tcBorders>
            <w:shd w:val="clear" w:color="auto" w:fill="auto"/>
            <w:noWrap/>
            <w:vAlign w:val="bottom"/>
            <w:hideMark/>
          </w:tcPr>
          <w:p w14:paraId="6A19F8CB" w14:textId="77777777" w:rsidR="008607AC" w:rsidRPr="006F4D00" w:rsidRDefault="008607AC" w:rsidP="008607AC">
            <w:pPr>
              <w:rPr>
                <w:color w:val="000000"/>
                <w:sz w:val="20"/>
                <w:szCs w:val="20"/>
              </w:rPr>
            </w:pPr>
            <w:r w:rsidRPr="006F4D00">
              <w:rPr>
                <w:color w:val="000000"/>
                <w:sz w:val="20"/>
                <w:szCs w:val="20"/>
              </w:rPr>
              <w:t xml:space="preserve"> Sugar and honey (6)</w:t>
            </w:r>
          </w:p>
        </w:tc>
      </w:tr>
      <w:tr w:rsidR="008607AC" w:rsidRPr="006F4D00" w14:paraId="4C2A245C" w14:textId="77777777" w:rsidTr="008607AC">
        <w:trPr>
          <w:trHeight w:hRule="exact" w:val="227"/>
        </w:trPr>
        <w:tc>
          <w:tcPr>
            <w:tcW w:w="1217" w:type="dxa"/>
            <w:tcBorders>
              <w:top w:val="nil"/>
              <w:left w:val="nil"/>
              <w:bottom w:val="nil"/>
              <w:right w:val="nil"/>
            </w:tcBorders>
            <w:shd w:val="clear" w:color="auto" w:fill="auto"/>
            <w:noWrap/>
            <w:vAlign w:val="bottom"/>
            <w:hideMark/>
          </w:tcPr>
          <w:p w14:paraId="6D85DC42" w14:textId="77777777" w:rsidR="008607AC" w:rsidRPr="006F4D00" w:rsidRDefault="008607AC" w:rsidP="008607AC">
            <w:pPr>
              <w:rPr>
                <w:color w:val="000000"/>
                <w:sz w:val="20"/>
                <w:szCs w:val="20"/>
              </w:rPr>
            </w:pPr>
            <w:r w:rsidRPr="006F4D00">
              <w:rPr>
                <w:color w:val="000000"/>
                <w:sz w:val="20"/>
                <w:szCs w:val="20"/>
              </w:rPr>
              <w:t>62</w:t>
            </w:r>
          </w:p>
        </w:tc>
        <w:tc>
          <w:tcPr>
            <w:tcW w:w="7453" w:type="dxa"/>
            <w:tcBorders>
              <w:top w:val="nil"/>
              <w:left w:val="nil"/>
              <w:bottom w:val="nil"/>
              <w:right w:val="nil"/>
            </w:tcBorders>
            <w:shd w:val="clear" w:color="auto" w:fill="auto"/>
            <w:noWrap/>
            <w:vAlign w:val="bottom"/>
            <w:hideMark/>
          </w:tcPr>
          <w:p w14:paraId="435FC58A" w14:textId="77777777" w:rsidR="008607AC" w:rsidRPr="006F4D00" w:rsidRDefault="008607AC" w:rsidP="008607AC">
            <w:pPr>
              <w:rPr>
                <w:color w:val="000000"/>
                <w:sz w:val="20"/>
                <w:szCs w:val="20"/>
              </w:rPr>
            </w:pPr>
            <w:r w:rsidRPr="006F4D00">
              <w:rPr>
                <w:color w:val="000000"/>
                <w:sz w:val="20"/>
                <w:szCs w:val="20"/>
              </w:rPr>
              <w:t xml:space="preserve"> Sugar confectionery and other sugar preparations (1) </w:t>
            </w:r>
          </w:p>
        </w:tc>
      </w:tr>
      <w:tr w:rsidR="008607AC" w:rsidRPr="006F4D00" w14:paraId="6D0CDF48" w14:textId="77777777" w:rsidTr="008607AC">
        <w:trPr>
          <w:trHeight w:hRule="exact" w:val="227"/>
        </w:trPr>
        <w:tc>
          <w:tcPr>
            <w:tcW w:w="1217" w:type="dxa"/>
            <w:tcBorders>
              <w:top w:val="nil"/>
              <w:left w:val="nil"/>
              <w:bottom w:val="nil"/>
              <w:right w:val="nil"/>
            </w:tcBorders>
            <w:shd w:val="clear" w:color="auto" w:fill="auto"/>
            <w:noWrap/>
            <w:vAlign w:val="bottom"/>
            <w:hideMark/>
          </w:tcPr>
          <w:p w14:paraId="07C1C67A" w14:textId="77777777" w:rsidR="008607AC" w:rsidRPr="006F4D00" w:rsidRDefault="008607AC" w:rsidP="008607AC">
            <w:pPr>
              <w:rPr>
                <w:color w:val="000000"/>
                <w:sz w:val="20"/>
                <w:szCs w:val="20"/>
              </w:rPr>
            </w:pPr>
            <w:r w:rsidRPr="006F4D00">
              <w:rPr>
                <w:color w:val="000000"/>
                <w:sz w:val="20"/>
                <w:szCs w:val="20"/>
              </w:rPr>
              <w:t>71</w:t>
            </w:r>
          </w:p>
        </w:tc>
        <w:tc>
          <w:tcPr>
            <w:tcW w:w="7453" w:type="dxa"/>
            <w:tcBorders>
              <w:top w:val="nil"/>
              <w:left w:val="nil"/>
              <w:bottom w:val="nil"/>
              <w:right w:val="nil"/>
            </w:tcBorders>
            <w:shd w:val="clear" w:color="auto" w:fill="auto"/>
            <w:noWrap/>
            <w:vAlign w:val="bottom"/>
            <w:hideMark/>
          </w:tcPr>
          <w:p w14:paraId="2FE7DCC3" w14:textId="77777777" w:rsidR="008607AC" w:rsidRPr="006F4D00" w:rsidRDefault="008607AC" w:rsidP="008607AC">
            <w:pPr>
              <w:rPr>
                <w:color w:val="000000"/>
                <w:sz w:val="20"/>
                <w:szCs w:val="20"/>
              </w:rPr>
            </w:pPr>
            <w:r w:rsidRPr="006F4D00">
              <w:rPr>
                <w:color w:val="000000"/>
                <w:sz w:val="20"/>
                <w:szCs w:val="20"/>
              </w:rPr>
              <w:t xml:space="preserve"> Coffee and coffee substitutes (3)</w:t>
            </w:r>
          </w:p>
        </w:tc>
      </w:tr>
      <w:tr w:rsidR="008607AC" w:rsidRPr="006F4D00" w14:paraId="49EBBFE9" w14:textId="77777777" w:rsidTr="008607AC">
        <w:trPr>
          <w:trHeight w:hRule="exact" w:val="227"/>
        </w:trPr>
        <w:tc>
          <w:tcPr>
            <w:tcW w:w="1217" w:type="dxa"/>
            <w:tcBorders>
              <w:top w:val="nil"/>
              <w:left w:val="nil"/>
              <w:bottom w:val="nil"/>
              <w:right w:val="nil"/>
            </w:tcBorders>
            <w:shd w:val="clear" w:color="auto" w:fill="auto"/>
            <w:noWrap/>
            <w:vAlign w:val="bottom"/>
            <w:hideMark/>
          </w:tcPr>
          <w:p w14:paraId="21DEC113" w14:textId="77777777" w:rsidR="008607AC" w:rsidRPr="006F4D00" w:rsidRDefault="008607AC" w:rsidP="008607AC">
            <w:pPr>
              <w:rPr>
                <w:color w:val="000000"/>
                <w:sz w:val="20"/>
                <w:szCs w:val="20"/>
              </w:rPr>
            </w:pPr>
            <w:r w:rsidRPr="006F4D00">
              <w:rPr>
                <w:color w:val="000000"/>
                <w:sz w:val="20"/>
                <w:szCs w:val="20"/>
              </w:rPr>
              <w:t>72</w:t>
            </w:r>
          </w:p>
        </w:tc>
        <w:tc>
          <w:tcPr>
            <w:tcW w:w="7453" w:type="dxa"/>
            <w:tcBorders>
              <w:top w:val="nil"/>
              <w:left w:val="nil"/>
              <w:bottom w:val="nil"/>
              <w:right w:val="nil"/>
            </w:tcBorders>
            <w:shd w:val="clear" w:color="auto" w:fill="auto"/>
            <w:noWrap/>
            <w:vAlign w:val="bottom"/>
            <w:hideMark/>
          </w:tcPr>
          <w:p w14:paraId="79A1A960" w14:textId="77777777" w:rsidR="008607AC" w:rsidRPr="006F4D00" w:rsidRDefault="008607AC" w:rsidP="008607AC">
            <w:pPr>
              <w:rPr>
                <w:color w:val="000000"/>
                <w:sz w:val="20"/>
                <w:szCs w:val="20"/>
              </w:rPr>
            </w:pPr>
            <w:r w:rsidRPr="006F4D00">
              <w:rPr>
                <w:color w:val="000000"/>
                <w:sz w:val="20"/>
                <w:szCs w:val="20"/>
              </w:rPr>
              <w:t xml:space="preserve"> Cocoa (4)</w:t>
            </w:r>
          </w:p>
        </w:tc>
      </w:tr>
      <w:tr w:rsidR="008607AC" w:rsidRPr="006F4D00" w14:paraId="49A271D2" w14:textId="77777777" w:rsidTr="008607AC">
        <w:trPr>
          <w:trHeight w:hRule="exact" w:val="227"/>
        </w:trPr>
        <w:tc>
          <w:tcPr>
            <w:tcW w:w="1217" w:type="dxa"/>
            <w:tcBorders>
              <w:top w:val="nil"/>
              <w:left w:val="nil"/>
              <w:bottom w:val="nil"/>
              <w:right w:val="nil"/>
            </w:tcBorders>
            <w:shd w:val="clear" w:color="auto" w:fill="auto"/>
            <w:noWrap/>
            <w:vAlign w:val="bottom"/>
            <w:hideMark/>
          </w:tcPr>
          <w:p w14:paraId="742E272E" w14:textId="77777777" w:rsidR="008607AC" w:rsidRPr="006F4D00" w:rsidRDefault="008607AC" w:rsidP="008607AC">
            <w:pPr>
              <w:rPr>
                <w:color w:val="000000"/>
                <w:sz w:val="20"/>
                <w:szCs w:val="20"/>
              </w:rPr>
            </w:pPr>
            <w:r w:rsidRPr="006F4D00">
              <w:rPr>
                <w:color w:val="000000"/>
                <w:sz w:val="20"/>
                <w:szCs w:val="20"/>
              </w:rPr>
              <w:t>73</w:t>
            </w:r>
          </w:p>
        </w:tc>
        <w:tc>
          <w:tcPr>
            <w:tcW w:w="7453" w:type="dxa"/>
            <w:tcBorders>
              <w:top w:val="nil"/>
              <w:left w:val="nil"/>
              <w:bottom w:val="nil"/>
              <w:right w:val="nil"/>
            </w:tcBorders>
            <w:shd w:val="clear" w:color="auto" w:fill="auto"/>
            <w:noWrap/>
            <w:vAlign w:val="bottom"/>
            <w:hideMark/>
          </w:tcPr>
          <w:p w14:paraId="29A2123D" w14:textId="77777777" w:rsidR="008607AC" w:rsidRPr="006F4D00" w:rsidRDefault="008607AC" w:rsidP="008607AC">
            <w:pPr>
              <w:rPr>
                <w:color w:val="000000"/>
                <w:sz w:val="20"/>
                <w:szCs w:val="20"/>
              </w:rPr>
            </w:pPr>
            <w:r w:rsidRPr="006F4D00">
              <w:rPr>
                <w:color w:val="000000"/>
                <w:sz w:val="20"/>
                <w:szCs w:val="20"/>
              </w:rPr>
              <w:t xml:space="preserve"> Chocolate &amp; other food preptions containing cocoa (1)</w:t>
            </w:r>
          </w:p>
        </w:tc>
      </w:tr>
      <w:tr w:rsidR="008607AC" w:rsidRPr="006F4D00" w14:paraId="085D27A9" w14:textId="77777777" w:rsidTr="008607AC">
        <w:trPr>
          <w:trHeight w:hRule="exact" w:val="227"/>
        </w:trPr>
        <w:tc>
          <w:tcPr>
            <w:tcW w:w="1217" w:type="dxa"/>
            <w:tcBorders>
              <w:top w:val="nil"/>
              <w:left w:val="nil"/>
              <w:bottom w:val="nil"/>
              <w:right w:val="nil"/>
            </w:tcBorders>
            <w:shd w:val="clear" w:color="auto" w:fill="auto"/>
            <w:noWrap/>
            <w:vAlign w:val="bottom"/>
            <w:hideMark/>
          </w:tcPr>
          <w:p w14:paraId="77F55FF3" w14:textId="77777777" w:rsidR="008607AC" w:rsidRPr="006F4D00" w:rsidRDefault="008607AC" w:rsidP="008607AC">
            <w:pPr>
              <w:rPr>
                <w:color w:val="000000"/>
                <w:sz w:val="20"/>
                <w:szCs w:val="20"/>
              </w:rPr>
            </w:pPr>
            <w:r w:rsidRPr="006F4D00">
              <w:rPr>
                <w:color w:val="000000"/>
                <w:sz w:val="20"/>
                <w:szCs w:val="20"/>
              </w:rPr>
              <w:t>74</w:t>
            </w:r>
          </w:p>
        </w:tc>
        <w:tc>
          <w:tcPr>
            <w:tcW w:w="7453" w:type="dxa"/>
            <w:tcBorders>
              <w:top w:val="nil"/>
              <w:left w:val="nil"/>
              <w:bottom w:val="nil"/>
              <w:right w:val="nil"/>
            </w:tcBorders>
            <w:shd w:val="clear" w:color="auto" w:fill="auto"/>
            <w:noWrap/>
            <w:vAlign w:val="bottom"/>
            <w:hideMark/>
          </w:tcPr>
          <w:p w14:paraId="1B6EE53D" w14:textId="77777777" w:rsidR="008607AC" w:rsidRPr="006F4D00" w:rsidRDefault="008607AC" w:rsidP="008607AC">
            <w:pPr>
              <w:rPr>
                <w:color w:val="000000"/>
                <w:sz w:val="20"/>
                <w:szCs w:val="20"/>
              </w:rPr>
            </w:pPr>
            <w:r w:rsidRPr="006F4D00">
              <w:rPr>
                <w:color w:val="000000"/>
                <w:sz w:val="20"/>
                <w:szCs w:val="20"/>
              </w:rPr>
              <w:t xml:space="preserve"> Tea and mate (3) </w:t>
            </w:r>
          </w:p>
        </w:tc>
      </w:tr>
      <w:tr w:rsidR="008607AC" w:rsidRPr="006F4D00" w14:paraId="468072CE" w14:textId="77777777" w:rsidTr="008607AC">
        <w:trPr>
          <w:trHeight w:hRule="exact" w:val="227"/>
        </w:trPr>
        <w:tc>
          <w:tcPr>
            <w:tcW w:w="1217" w:type="dxa"/>
            <w:tcBorders>
              <w:top w:val="nil"/>
              <w:left w:val="nil"/>
              <w:bottom w:val="nil"/>
              <w:right w:val="nil"/>
            </w:tcBorders>
            <w:shd w:val="clear" w:color="auto" w:fill="auto"/>
            <w:noWrap/>
            <w:vAlign w:val="bottom"/>
            <w:hideMark/>
          </w:tcPr>
          <w:p w14:paraId="78C73158" w14:textId="77777777" w:rsidR="008607AC" w:rsidRPr="006F4D00" w:rsidRDefault="008607AC" w:rsidP="008607AC">
            <w:pPr>
              <w:rPr>
                <w:color w:val="000000"/>
                <w:sz w:val="20"/>
                <w:szCs w:val="20"/>
              </w:rPr>
            </w:pPr>
            <w:r w:rsidRPr="006F4D00">
              <w:rPr>
                <w:color w:val="000000"/>
                <w:sz w:val="20"/>
                <w:szCs w:val="20"/>
              </w:rPr>
              <w:t>75</w:t>
            </w:r>
          </w:p>
        </w:tc>
        <w:tc>
          <w:tcPr>
            <w:tcW w:w="7453" w:type="dxa"/>
            <w:tcBorders>
              <w:top w:val="nil"/>
              <w:left w:val="nil"/>
              <w:bottom w:val="nil"/>
              <w:right w:val="nil"/>
            </w:tcBorders>
            <w:shd w:val="clear" w:color="auto" w:fill="auto"/>
            <w:noWrap/>
            <w:vAlign w:val="bottom"/>
            <w:hideMark/>
          </w:tcPr>
          <w:p w14:paraId="0CBCEA98" w14:textId="77777777" w:rsidR="008607AC" w:rsidRPr="006F4D00" w:rsidRDefault="008607AC" w:rsidP="008607AC">
            <w:pPr>
              <w:rPr>
                <w:color w:val="000000"/>
                <w:sz w:val="20"/>
                <w:szCs w:val="20"/>
              </w:rPr>
            </w:pPr>
            <w:r w:rsidRPr="006F4D00">
              <w:rPr>
                <w:color w:val="000000"/>
                <w:sz w:val="20"/>
                <w:szCs w:val="20"/>
              </w:rPr>
              <w:t xml:space="preserve"> Spices (3) </w:t>
            </w:r>
          </w:p>
        </w:tc>
      </w:tr>
      <w:tr w:rsidR="008607AC" w:rsidRPr="006F4D00" w14:paraId="03776051" w14:textId="77777777" w:rsidTr="008607AC">
        <w:trPr>
          <w:trHeight w:hRule="exact" w:val="227"/>
        </w:trPr>
        <w:tc>
          <w:tcPr>
            <w:tcW w:w="1217" w:type="dxa"/>
            <w:tcBorders>
              <w:top w:val="nil"/>
              <w:left w:val="nil"/>
              <w:bottom w:val="nil"/>
              <w:right w:val="nil"/>
            </w:tcBorders>
            <w:shd w:val="clear" w:color="auto" w:fill="auto"/>
            <w:noWrap/>
            <w:vAlign w:val="bottom"/>
            <w:hideMark/>
          </w:tcPr>
          <w:p w14:paraId="48C11B68" w14:textId="77777777" w:rsidR="008607AC" w:rsidRPr="006F4D00" w:rsidRDefault="008607AC" w:rsidP="008607AC">
            <w:pPr>
              <w:rPr>
                <w:color w:val="000000"/>
                <w:sz w:val="20"/>
                <w:szCs w:val="20"/>
              </w:rPr>
            </w:pPr>
            <w:r w:rsidRPr="006F4D00">
              <w:rPr>
                <w:color w:val="000000"/>
                <w:sz w:val="20"/>
                <w:szCs w:val="20"/>
              </w:rPr>
              <w:t>81</w:t>
            </w:r>
          </w:p>
        </w:tc>
        <w:tc>
          <w:tcPr>
            <w:tcW w:w="7453" w:type="dxa"/>
            <w:tcBorders>
              <w:top w:val="nil"/>
              <w:left w:val="nil"/>
              <w:bottom w:val="nil"/>
              <w:right w:val="nil"/>
            </w:tcBorders>
            <w:shd w:val="clear" w:color="auto" w:fill="auto"/>
            <w:noWrap/>
            <w:vAlign w:val="bottom"/>
            <w:hideMark/>
          </w:tcPr>
          <w:p w14:paraId="33454511" w14:textId="77777777" w:rsidR="008607AC" w:rsidRPr="006F4D00" w:rsidRDefault="008607AC" w:rsidP="008607AC">
            <w:pPr>
              <w:rPr>
                <w:color w:val="000000"/>
                <w:sz w:val="20"/>
                <w:szCs w:val="20"/>
              </w:rPr>
            </w:pPr>
            <w:r w:rsidRPr="006F4D00">
              <w:rPr>
                <w:color w:val="000000"/>
                <w:sz w:val="20"/>
                <w:szCs w:val="20"/>
              </w:rPr>
              <w:t xml:space="preserve"> Feed.stuff for animals (not including unmilled cereals) (6)</w:t>
            </w:r>
          </w:p>
        </w:tc>
      </w:tr>
      <w:tr w:rsidR="008607AC" w:rsidRPr="006F4D00" w14:paraId="1D76C13E" w14:textId="77777777" w:rsidTr="008607AC">
        <w:trPr>
          <w:trHeight w:hRule="exact" w:val="227"/>
        </w:trPr>
        <w:tc>
          <w:tcPr>
            <w:tcW w:w="1217" w:type="dxa"/>
            <w:tcBorders>
              <w:top w:val="nil"/>
              <w:left w:val="nil"/>
              <w:bottom w:val="nil"/>
              <w:right w:val="nil"/>
            </w:tcBorders>
            <w:shd w:val="clear" w:color="auto" w:fill="auto"/>
            <w:noWrap/>
            <w:vAlign w:val="bottom"/>
            <w:hideMark/>
          </w:tcPr>
          <w:p w14:paraId="15B6AD50" w14:textId="77777777" w:rsidR="008607AC" w:rsidRPr="006F4D00" w:rsidRDefault="008607AC" w:rsidP="008607AC">
            <w:pPr>
              <w:rPr>
                <w:color w:val="000000"/>
                <w:sz w:val="20"/>
                <w:szCs w:val="20"/>
              </w:rPr>
            </w:pPr>
            <w:r w:rsidRPr="006F4D00">
              <w:rPr>
                <w:color w:val="000000"/>
                <w:sz w:val="20"/>
                <w:szCs w:val="20"/>
              </w:rPr>
              <w:t>91</w:t>
            </w:r>
          </w:p>
        </w:tc>
        <w:tc>
          <w:tcPr>
            <w:tcW w:w="7453" w:type="dxa"/>
            <w:tcBorders>
              <w:top w:val="nil"/>
              <w:left w:val="nil"/>
              <w:bottom w:val="nil"/>
              <w:right w:val="nil"/>
            </w:tcBorders>
            <w:shd w:val="clear" w:color="auto" w:fill="auto"/>
            <w:noWrap/>
            <w:vAlign w:val="bottom"/>
            <w:hideMark/>
          </w:tcPr>
          <w:p w14:paraId="1C239E25" w14:textId="77777777" w:rsidR="008607AC" w:rsidRPr="006F4D00" w:rsidRDefault="008607AC" w:rsidP="008607AC">
            <w:pPr>
              <w:rPr>
                <w:color w:val="000000"/>
                <w:sz w:val="20"/>
                <w:szCs w:val="20"/>
              </w:rPr>
            </w:pPr>
            <w:r w:rsidRPr="006F4D00">
              <w:rPr>
                <w:color w:val="000000"/>
                <w:sz w:val="20"/>
                <w:szCs w:val="20"/>
              </w:rPr>
              <w:t xml:space="preserve"> Margarine and shortening (3) </w:t>
            </w:r>
          </w:p>
        </w:tc>
      </w:tr>
      <w:tr w:rsidR="008607AC" w:rsidRPr="006F4D00" w14:paraId="6AB578E9" w14:textId="77777777" w:rsidTr="008607AC">
        <w:trPr>
          <w:trHeight w:hRule="exact" w:val="227"/>
        </w:trPr>
        <w:tc>
          <w:tcPr>
            <w:tcW w:w="1217" w:type="dxa"/>
            <w:tcBorders>
              <w:top w:val="nil"/>
              <w:left w:val="nil"/>
              <w:bottom w:val="nil"/>
              <w:right w:val="nil"/>
            </w:tcBorders>
            <w:shd w:val="clear" w:color="auto" w:fill="auto"/>
            <w:noWrap/>
            <w:vAlign w:val="bottom"/>
            <w:hideMark/>
          </w:tcPr>
          <w:p w14:paraId="6FE02C28" w14:textId="77777777" w:rsidR="008607AC" w:rsidRPr="006F4D00" w:rsidRDefault="008607AC" w:rsidP="008607AC">
            <w:pPr>
              <w:rPr>
                <w:color w:val="000000"/>
                <w:sz w:val="20"/>
                <w:szCs w:val="20"/>
              </w:rPr>
            </w:pPr>
            <w:r w:rsidRPr="006F4D00">
              <w:rPr>
                <w:color w:val="000000"/>
                <w:sz w:val="20"/>
                <w:szCs w:val="20"/>
              </w:rPr>
              <w:t>98</w:t>
            </w:r>
          </w:p>
        </w:tc>
        <w:tc>
          <w:tcPr>
            <w:tcW w:w="7453" w:type="dxa"/>
            <w:tcBorders>
              <w:top w:val="nil"/>
              <w:left w:val="nil"/>
              <w:bottom w:val="nil"/>
              <w:right w:val="nil"/>
            </w:tcBorders>
            <w:shd w:val="clear" w:color="auto" w:fill="auto"/>
            <w:noWrap/>
            <w:vAlign w:val="bottom"/>
            <w:hideMark/>
          </w:tcPr>
          <w:p w14:paraId="060AE30F" w14:textId="77777777" w:rsidR="008607AC" w:rsidRPr="006F4D00" w:rsidRDefault="008607AC" w:rsidP="008607AC">
            <w:pPr>
              <w:rPr>
                <w:color w:val="000000"/>
                <w:sz w:val="20"/>
                <w:szCs w:val="20"/>
              </w:rPr>
            </w:pPr>
            <w:r w:rsidRPr="006F4D00">
              <w:rPr>
                <w:color w:val="000000"/>
                <w:sz w:val="20"/>
                <w:szCs w:val="20"/>
              </w:rPr>
              <w:t xml:space="preserve"> Edible products and preparations n.e.s. (1) </w:t>
            </w:r>
          </w:p>
        </w:tc>
      </w:tr>
      <w:tr w:rsidR="008607AC" w:rsidRPr="006F4D00" w14:paraId="246F1DC9" w14:textId="77777777" w:rsidTr="008607AC">
        <w:trPr>
          <w:trHeight w:hRule="exact" w:val="227"/>
        </w:trPr>
        <w:tc>
          <w:tcPr>
            <w:tcW w:w="1217" w:type="dxa"/>
            <w:tcBorders>
              <w:top w:val="nil"/>
              <w:left w:val="nil"/>
              <w:bottom w:val="nil"/>
              <w:right w:val="nil"/>
            </w:tcBorders>
            <w:shd w:val="clear" w:color="auto" w:fill="auto"/>
            <w:noWrap/>
            <w:vAlign w:val="bottom"/>
            <w:hideMark/>
          </w:tcPr>
          <w:p w14:paraId="4EEC60E7" w14:textId="77777777" w:rsidR="008607AC" w:rsidRPr="006F4D00" w:rsidRDefault="008607AC" w:rsidP="008607AC">
            <w:pPr>
              <w:rPr>
                <w:color w:val="000000"/>
                <w:sz w:val="20"/>
                <w:szCs w:val="20"/>
              </w:rPr>
            </w:pPr>
            <w:r w:rsidRPr="006F4D00">
              <w:rPr>
                <w:color w:val="000000"/>
                <w:sz w:val="20"/>
                <w:szCs w:val="20"/>
              </w:rPr>
              <w:t>111</w:t>
            </w:r>
          </w:p>
        </w:tc>
        <w:tc>
          <w:tcPr>
            <w:tcW w:w="7453" w:type="dxa"/>
            <w:tcBorders>
              <w:top w:val="nil"/>
              <w:left w:val="nil"/>
              <w:bottom w:val="nil"/>
              <w:right w:val="nil"/>
            </w:tcBorders>
            <w:shd w:val="clear" w:color="auto" w:fill="auto"/>
            <w:noWrap/>
            <w:vAlign w:val="bottom"/>
            <w:hideMark/>
          </w:tcPr>
          <w:p w14:paraId="5D4E6B16" w14:textId="77777777" w:rsidR="008607AC" w:rsidRPr="006F4D00" w:rsidRDefault="008607AC" w:rsidP="008607AC">
            <w:pPr>
              <w:rPr>
                <w:color w:val="000000"/>
                <w:sz w:val="20"/>
                <w:szCs w:val="20"/>
              </w:rPr>
            </w:pPr>
            <w:r w:rsidRPr="006F4D00">
              <w:rPr>
                <w:color w:val="000000"/>
                <w:sz w:val="20"/>
                <w:szCs w:val="20"/>
              </w:rPr>
              <w:t xml:space="preserve"> Non alcoholic beverages, n.e.s. (1) </w:t>
            </w:r>
          </w:p>
        </w:tc>
      </w:tr>
      <w:tr w:rsidR="008607AC" w:rsidRPr="006F4D00" w14:paraId="09F20F49" w14:textId="77777777" w:rsidTr="008607AC">
        <w:trPr>
          <w:trHeight w:hRule="exact" w:val="227"/>
        </w:trPr>
        <w:tc>
          <w:tcPr>
            <w:tcW w:w="1217" w:type="dxa"/>
            <w:tcBorders>
              <w:top w:val="nil"/>
              <w:left w:val="nil"/>
              <w:bottom w:val="nil"/>
              <w:right w:val="nil"/>
            </w:tcBorders>
            <w:shd w:val="clear" w:color="auto" w:fill="auto"/>
            <w:noWrap/>
            <w:vAlign w:val="bottom"/>
            <w:hideMark/>
          </w:tcPr>
          <w:p w14:paraId="55D665FC" w14:textId="77777777" w:rsidR="008607AC" w:rsidRPr="006F4D00" w:rsidRDefault="008607AC" w:rsidP="008607AC">
            <w:pPr>
              <w:rPr>
                <w:color w:val="000000"/>
                <w:sz w:val="20"/>
                <w:szCs w:val="20"/>
              </w:rPr>
            </w:pPr>
            <w:r w:rsidRPr="006F4D00">
              <w:rPr>
                <w:color w:val="000000"/>
                <w:sz w:val="20"/>
                <w:szCs w:val="20"/>
              </w:rPr>
              <w:t>112</w:t>
            </w:r>
          </w:p>
        </w:tc>
        <w:tc>
          <w:tcPr>
            <w:tcW w:w="7453" w:type="dxa"/>
            <w:tcBorders>
              <w:top w:val="nil"/>
              <w:left w:val="nil"/>
              <w:bottom w:val="nil"/>
              <w:right w:val="nil"/>
            </w:tcBorders>
            <w:shd w:val="clear" w:color="auto" w:fill="auto"/>
            <w:noWrap/>
            <w:vAlign w:val="bottom"/>
            <w:hideMark/>
          </w:tcPr>
          <w:p w14:paraId="1D1356B5" w14:textId="77777777" w:rsidR="008607AC" w:rsidRPr="006F4D00" w:rsidRDefault="008607AC" w:rsidP="008607AC">
            <w:pPr>
              <w:rPr>
                <w:color w:val="000000"/>
                <w:sz w:val="20"/>
                <w:szCs w:val="20"/>
              </w:rPr>
            </w:pPr>
            <w:r w:rsidRPr="006F4D00">
              <w:rPr>
                <w:color w:val="000000"/>
                <w:sz w:val="20"/>
                <w:szCs w:val="20"/>
              </w:rPr>
              <w:t xml:space="preserve"> Alcoholic beverages (5) </w:t>
            </w:r>
          </w:p>
        </w:tc>
      </w:tr>
      <w:tr w:rsidR="008607AC" w:rsidRPr="006F4D00" w14:paraId="473E847B" w14:textId="77777777" w:rsidTr="008607AC">
        <w:trPr>
          <w:trHeight w:hRule="exact" w:val="227"/>
        </w:trPr>
        <w:tc>
          <w:tcPr>
            <w:tcW w:w="1217" w:type="dxa"/>
            <w:tcBorders>
              <w:top w:val="nil"/>
              <w:left w:val="nil"/>
              <w:bottom w:val="nil"/>
              <w:right w:val="nil"/>
            </w:tcBorders>
            <w:shd w:val="clear" w:color="auto" w:fill="auto"/>
            <w:noWrap/>
            <w:vAlign w:val="bottom"/>
            <w:hideMark/>
          </w:tcPr>
          <w:p w14:paraId="26411978" w14:textId="77777777" w:rsidR="008607AC" w:rsidRPr="006F4D00" w:rsidRDefault="008607AC" w:rsidP="008607AC">
            <w:pPr>
              <w:rPr>
                <w:color w:val="000000"/>
                <w:sz w:val="20"/>
                <w:szCs w:val="20"/>
              </w:rPr>
            </w:pPr>
            <w:r w:rsidRPr="006F4D00">
              <w:rPr>
                <w:color w:val="000000"/>
                <w:sz w:val="20"/>
                <w:szCs w:val="20"/>
              </w:rPr>
              <w:t>121</w:t>
            </w:r>
          </w:p>
        </w:tc>
        <w:tc>
          <w:tcPr>
            <w:tcW w:w="7453" w:type="dxa"/>
            <w:tcBorders>
              <w:top w:val="nil"/>
              <w:left w:val="nil"/>
              <w:bottom w:val="nil"/>
              <w:right w:val="nil"/>
            </w:tcBorders>
            <w:shd w:val="clear" w:color="auto" w:fill="auto"/>
            <w:noWrap/>
            <w:vAlign w:val="bottom"/>
            <w:hideMark/>
          </w:tcPr>
          <w:p w14:paraId="2A7AE20B" w14:textId="77777777" w:rsidR="008607AC" w:rsidRPr="006F4D00" w:rsidRDefault="008607AC" w:rsidP="008607AC">
            <w:pPr>
              <w:rPr>
                <w:color w:val="000000"/>
                <w:sz w:val="20"/>
                <w:szCs w:val="20"/>
              </w:rPr>
            </w:pPr>
            <w:r w:rsidRPr="006F4D00">
              <w:rPr>
                <w:color w:val="000000"/>
                <w:sz w:val="20"/>
                <w:szCs w:val="20"/>
              </w:rPr>
              <w:t xml:space="preserve"> Tobacco, unmanufactured; tobacco refuse (4)</w:t>
            </w:r>
          </w:p>
        </w:tc>
      </w:tr>
      <w:tr w:rsidR="008607AC" w:rsidRPr="006F4D00" w14:paraId="4A0222FE" w14:textId="77777777" w:rsidTr="008607AC">
        <w:trPr>
          <w:trHeight w:hRule="exact" w:val="227"/>
        </w:trPr>
        <w:tc>
          <w:tcPr>
            <w:tcW w:w="1217" w:type="dxa"/>
            <w:tcBorders>
              <w:top w:val="nil"/>
              <w:left w:val="nil"/>
              <w:bottom w:val="nil"/>
              <w:right w:val="nil"/>
            </w:tcBorders>
            <w:shd w:val="clear" w:color="auto" w:fill="auto"/>
            <w:noWrap/>
            <w:vAlign w:val="bottom"/>
            <w:hideMark/>
          </w:tcPr>
          <w:p w14:paraId="446D3D46" w14:textId="77777777" w:rsidR="008607AC" w:rsidRPr="006F4D00" w:rsidRDefault="008607AC" w:rsidP="008607AC">
            <w:pPr>
              <w:rPr>
                <w:color w:val="000000"/>
                <w:sz w:val="20"/>
                <w:szCs w:val="20"/>
              </w:rPr>
            </w:pPr>
            <w:r w:rsidRPr="006F4D00">
              <w:rPr>
                <w:color w:val="000000"/>
                <w:sz w:val="20"/>
                <w:szCs w:val="20"/>
              </w:rPr>
              <w:t>122</w:t>
            </w:r>
          </w:p>
        </w:tc>
        <w:tc>
          <w:tcPr>
            <w:tcW w:w="7453" w:type="dxa"/>
            <w:tcBorders>
              <w:top w:val="nil"/>
              <w:left w:val="nil"/>
              <w:bottom w:val="nil"/>
              <w:right w:val="nil"/>
            </w:tcBorders>
            <w:shd w:val="clear" w:color="auto" w:fill="auto"/>
            <w:noWrap/>
            <w:vAlign w:val="bottom"/>
            <w:hideMark/>
          </w:tcPr>
          <w:p w14:paraId="2DD4710F" w14:textId="77777777" w:rsidR="008607AC" w:rsidRPr="006F4D00" w:rsidRDefault="008607AC" w:rsidP="008607AC">
            <w:pPr>
              <w:rPr>
                <w:color w:val="000000"/>
                <w:sz w:val="20"/>
                <w:szCs w:val="20"/>
              </w:rPr>
            </w:pPr>
            <w:r w:rsidRPr="006F4D00">
              <w:rPr>
                <w:color w:val="000000"/>
                <w:sz w:val="20"/>
                <w:szCs w:val="20"/>
              </w:rPr>
              <w:t xml:space="preserve"> Tobacco manufactured (4) </w:t>
            </w:r>
          </w:p>
        </w:tc>
      </w:tr>
      <w:tr w:rsidR="008607AC" w:rsidRPr="006F4D00" w14:paraId="6C02021F" w14:textId="77777777" w:rsidTr="008607AC">
        <w:trPr>
          <w:trHeight w:hRule="exact" w:val="227"/>
        </w:trPr>
        <w:tc>
          <w:tcPr>
            <w:tcW w:w="1217" w:type="dxa"/>
            <w:tcBorders>
              <w:top w:val="nil"/>
              <w:left w:val="nil"/>
              <w:bottom w:val="nil"/>
              <w:right w:val="nil"/>
            </w:tcBorders>
            <w:shd w:val="clear" w:color="auto" w:fill="auto"/>
            <w:noWrap/>
            <w:vAlign w:val="bottom"/>
            <w:hideMark/>
          </w:tcPr>
          <w:p w14:paraId="4F053C3F" w14:textId="77777777" w:rsidR="008607AC" w:rsidRPr="006F4D00" w:rsidRDefault="008607AC" w:rsidP="008607AC">
            <w:pPr>
              <w:rPr>
                <w:color w:val="000000"/>
                <w:sz w:val="20"/>
                <w:szCs w:val="20"/>
              </w:rPr>
            </w:pPr>
            <w:r w:rsidRPr="006F4D00">
              <w:rPr>
                <w:color w:val="000000"/>
                <w:sz w:val="20"/>
                <w:szCs w:val="20"/>
              </w:rPr>
              <w:t>211</w:t>
            </w:r>
          </w:p>
        </w:tc>
        <w:tc>
          <w:tcPr>
            <w:tcW w:w="7453" w:type="dxa"/>
            <w:tcBorders>
              <w:top w:val="nil"/>
              <w:left w:val="nil"/>
              <w:bottom w:val="nil"/>
              <w:right w:val="nil"/>
            </w:tcBorders>
            <w:shd w:val="clear" w:color="auto" w:fill="auto"/>
            <w:noWrap/>
            <w:vAlign w:val="bottom"/>
            <w:hideMark/>
          </w:tcPr>
          <w:p w14:paraId="16E50BCA" w14:textId="77777777" w:rsidR="008607AC" w:rsidRPr="006F4D00" w:rsidRDefault="008607AC" w:rsidP="008607AC">
            <w:pPr>
              <w:rPr>
                <w:color w:val="000000"/>
                <w:sz w:val="20"/>
                <w:szCs w:val="20"/>
              </w:rPr>
            </w:pPr>
            <w:r w:rsidRPr="006F4D00">
              <w:rPr>
                <w:color w:val="000000"/>
                <w:sz w:val="20"/>
                <w:szCs w:val="20"/>
              </w:rPr>
              <w:t xml:space="preserve"> Hides and skins (except furskins), raw (7)</w:t>
            </w:r>
          </w:p>
        </w:tc>
      </w:tr>
      <w:tr w:rsidR="008607AC" w:rsidRPr="006F4D00" w14:paraId="5A08BE8C" w14:textId="77777777" w:rsidTr="008607AC">
        <w:trPr>
          <w:trHeight w:hRule="exact" w:val="227"/>
        </w:trPr>
        <w:tc>
          <w:tcPr>
            <w:tcW w:w="1217" w:type="dxa"/>
            <w:tcBorders>
              <w:top w:val="nil"/>
              <w:left w:val="nil"/>
              <w:bottom w:val="nil"/>
              <w:right w:val="nil"/>
            </w:tcBorders>
            <w:shd w:val="clear" w:color="auto" w:fill="auto"/>
            <w:noWrap/>
            <w:vAlign w:val="bottom"/>
            <w:hideMark/>
          </w:tcPr>
          <w:p w14:paraId="241852E1" w14:textId="77777777" w:rsidR="008607AC" w:rsidRPr="006F4D00" w:rsidRDefault="008607AC" w:rsidP="008607AC">
            <w:pPr>
              <w:rPr>
                <w:color w:val="000000"/>
                <w:sz w:val="20"/>
                <w:szCs w:val="20"/>
              </w:rPr>
            </w:pPr>
            <w:r w:rsidRPr="006F4D00">
              <w:rPr>
                <w:color w:val="000000"/>
                <w:sz w:val="20"/>
                <w:szCs w:val="20"/>
              </w:rPr>
              <w:t>212</w:t>
            </w:r>
          </w:p>
        </w:tc>
        <w:tc>
          <w:tcPr>
            <w:tcW w:w="7453" w:type="dxa"/>
            <w:tcBorders>
              <w:top w:val="nil"/>
              <w:left w:val="nil"/>
              <w:bottom w:val="nil"/>
              <w:right w:val="nil"/>
            </w:tcBorders>
            <w:shd w:val="clear" w:color="auto" w:fill="auto"/>
            <w:noWrap/>
            <w:vAlign w:val="bottom"/>
            <w:hideMark/>
          </w:tcPr>
          <w:p w14:paraId="54303FB4" w14:textId="77777777" w:rsidR="008607AC" w:rsidRPr="006F4D00" w:rsidRDefault="008607AC" w:rsidP="008607AC">
            <w:pPr>
              <w:rPr>
                <w:color w:val="000000"/>
                <w:sz w:val="20"/>
                <w:szCs w:val="20"/>
              </w:rPr>
            </w:pPr>
            <w:r w:rsidRPr="006F4D00">
              <w:rPr>
                <w:color w:val="000000"/>
                <w:sz w:val="20"/>
                <w:szCs w:val="20"/>
              </w:rPr>
              <w:t xml:space="preserve"> Furskins, raw (including astrakhan, caracul, etc.) (1)</w:t>
            </w:r>
          </w:p>
        </w:tc>
      </w:tr>
      <w:tr w:rsidR="008607AC" w:rsidRPr="006F4D00" w14:paraId="4B6EA942" w14:textId="77777777" w:rsidTr="008607AC">
        <w:trPr>
          <w:trHeight w:hRule="exact" w:val="227"/>
        </w:trPr>
        <w:tc>
          <w:tcPr>
            <w:tcW w:w="1217" w:type="dxa"/>
            <w:tcBorders>
              <w:top w:val="nil"/>
              <w:left w:val="nil"/>
              <w:bottom w:val="nil"/>
              <w:right w:val="nil"/>
            </w:tcBorders>
            <w:shd w:val="clear" w:color="auto" w:fill="auto"/>
            <w:noWrap/>
            <w:vAlign w:val="bottom"/>
            <w:hideMark/>
          </w:tcPr>
          <w:p w14:paraId="1C82D8C1" w14:textId="77777777" w:rsidR="008607AC" w:rsidRPr="006F4D00" w:rsidRDefault="008607AC" w:rsidP="008607AC">
            <w:pPr>
              <w:rPr>
                <w:color w:val="000000"/>
                <w:sz w:val="20"/>
                <w:szCs w:val="20"/>
              </w:rPr>
            </w:pPr>
            <w:r w:rsidRPr="006F4D00">
              <w:rPr>
                <w:color w:val="000000"/>
                <w:sz w:val="20"/>
                <w:szCs w:val="20"/>
              </w:rPr>
              <w:t>222</w:t>
            </w:r>
          </w:p>
        </w:tc>
        <w:tc>
          <w:tcPr>
            <w:tcW w:w="7453" w:type="dxa"/>
            <w:tcBorders>
              <w:top w:val="nil"/>
              <w:left w:val="nil"/>
              <w:bottom w:val="nil"/>
              <w:right w:val="nil"/>
            </w:tcBorders>
            <w:shd w:val="clear" w:color="auto" w:fill="auto"/>
            <w:noWrap/>
            <w:vAlign w:val="bottom"/>
            <w:hideMark/>
          </w:tcPr>
          <w:p w14:paraId="62C21A0F" w14:textId="77777777" w:rsidR="008607AC" w:rsidRPr="006F4D00" w:rsidRDefault="008607AC" w:rsidP="008607AC">
            <w:pPr>
              <w:rPr>
                <w:color w:val="000000"/>
                <w:sz w:val="20"/>
                <w:szCs w:val="20"/>
              </w:rPr>
            </w:pPr>
            <w:r w:rsidRPr="006F4D00">
              <w:rPr>
                <w:color w:val="000000"/>
                <w:sz w:val="20"/>
                <w:szCs w:val="20"/>
              </w:rPr>
              <w:t xml:space="preserve"> Oil seeds and oleaginous fruit (excluding flours and meals) (7)</w:t>
            </w:r>
          </w:p>
        </w:tc>
      </w:tr>
      <w:tr w:rsidR="008607AC" w:rsidRPr="006F4D00" w14:paraId="1963153B" w14:textId="77777777" w:rsidTr="008607AC">
        <w:trPr>
          <w:trHeight w:hRule="exact" w:val="227"/>
        </w:trPr>
        <w:tc>
          <w:tcPr>
            <w:tcW w:w="1217" w:type="dxa"/>
            <w:tcBorders>
              <w:top w:val="nil"/>
              <w:left w:val="nil"/>
              <w:bottom w:val="nil"/>
              <w:right w:val="nil"/>
            </w:tcBorders>
            <w:shd w:val="clear" w:color="auto" w:fill="auto"/>
            <w:noWrap/>
            <w:vAlign w:val="bottom"/>
            <w:hideMark/>
          </w:tcPr>
          <w:p w14:paraId="6F6033D2" w14:textId="77777777" w:rsidR="008607AC" w:rsidRPr="006F4D00" w:rsidRDefault="008607AC" w:rsidP="008607AC">
            <w:pPr>
              <w:rPr>
                <w:color w:val="000000"/>
                <w:sz w:val="20"/>
                <w:szCs w:val="20"/>
              </w:rPr>
            </w:pPr>
            <w:r w:rsidRPr="006F4D00">
              <w:rPr>
                <w:color w:val="000000"/>
                <w:sz w:val="20"/>
                <w:szCs w:val="20"/>
              </w:rPr>
              <w:t>223</w:t>
            </w:r>
          </w:p>
        </w:tc>
        <w:tc>
          <w:tcPr>
            <w:tcW w:w="7453" w:type="dxa"/>
            <w:tcBorders>
              <w:top w:val="nil"/>
              <w:left w:val="nil"/>
              <w:bottom w:val="nil"/>
              <w:right w:val="nil"/>
            </w:tcBorders>
            <w:shd w:val="clear" w:color="auto" w:fill="auto"/>
            <w:noWrap/>
            <w:vAlign w:val="bottom"/>
            <w:hideMark/>
          </w:tcPr>
          <w:p w14:paraId="58B1003D" w14:textId="77777777" w:rsidR="008607AC" w:rsidRPr="006F4D00" w:rsidRDefault="008607AC" w:rsidP="008607AC">
            <w:pPr>
              <w:rPr>
                <w:color w:val="000000"/>
                <w:sz w:val="20"/>
                <w:szCs w:val="20"/>
              </w:rPr>
            </w:pPr>
            <w:r w:rsidRPr="006F4D00">
              <w:rPr>
                <w:color w:val="000000"/>
                <w:sz w:val="20"/>
                <w:szCs w:val="20"/>
              </w:rPr>
              <w:t xml:space="preserve"> Oils seeds and oleaginous fruit, whole or broken (including flours and meals) (7) </w:t>
            </w:r>
          </w:p>
        </w:tc>
      </w:tr>
      <w:tr w:rsidR="008607AC" w:rsidRPr="006F4D00" w14:paraId="03F55076" w14:textId="77777777" w:rsidTr="008607AC">
        <w:trPr>
          <w:trHeight w:hRule="exact" w:val="227"/>
        </w:trPr>
        <w:tc>
          <w:tcPr>
            <w:tcW w:w="1217" w:type="dxa"/>
            <w:tcBorders>
              <w:top w:val="nil"/>
              <w:left w:val="nil"/>
              <w:bottom w:val="nil"/>
              <w:right w:val="nil"/>
            </w:tcBorders>
            <w:shd w:val="clear" w:color="auto" w:fill="auto"/>
            <w:noWrap/>
            <w:vAlign w:val="bottom"/>
            <w:hideMark/>
          </w:tcPr>
          <w:p w14:paraId="09322F96" w14:textId="77777777" w:rsidR="008607AC" w:rsidRPr="006F4D00" w:rsidRDefault="008607AC" w:rsidP="008607AC">
            <w:pPr>
              <w:rPr>
                <w:color w:val="000000"/>
                <w:sz w:val="20"/>
                <w:szCs w:val="20"/>
              </w:rPr>
            </w:pPr>
            <w:r w:rsidRPr="006F4D00">
              <w:rPr>
                <w:color w:val="000000"/>
                <w:sz w:val="20"/>
                <w:szCs w:val="20"/>
              </w:rPr>
              <w:t>23</w:t>
            </w:r>
          </w:p>
        </w:tc>
        <w:tc>
          <w:tcPr>
            <w:tcW w:w="7453" w:type="dxa"/>
            <w:tcBorders>
              <w:top w:val="nil"/>
              <w:left w:val="nil"/>
              <w:bottom w:val="nil"/>
              <w:right w:val="nil"/>
            </w:tcBorders>
            <w:shd w:val="clear" w:color="auto" w:fill="auto"/>
            <w:noWrap/>
            <w:vAlign w:val="bottom"/>
            <w:hideMark/>
          </w:tcPr>
          <w:p w14:paraId="655834FA" w14:textId="77777777" w:rsidR="008607AC" w:rsidRPr="006F4D00" w:rsidRDefault="008607AC" w:rsidP="008607AC">
            <w:pPr>
              <w:rPr>
                <w:color w:val="000000"/>
                <w:sz w:val="20"/>
                <w:szCs w:val="20"/>
              </w:rPr>
            </w:pPr>
            <w:r w:rsidRPr="006F4D00">
              <w:rPr>
                <w:color w:val="000000"/>
                <w:sz w:val="20"/>
                <w:szCs w:val="20"/>
              </w:rPr>
              <w:t xml:space="preserve"> Crude rubber (including synthetic and reclaimed) (5)</w:t>
            </w:r>
          </w:p>
        </w:tc>
      </w:tr>
      <w:tr w:rsidR="008607AC" w:rsidRPr="006F4D00" w14:paraId="15FE8621" w14:textId="77777777" w:rsidTr="008607AC">
        <w:trPr>
          <w:trHeight w:hRule="exact" w:val="227"/>
        </w:trPr>
        <w:tc>
          <w:tcPr>
            <w:tcW w:w="1217" w:type="dxa"/>
            <w:tcBorders>
              <w:top w:val="nil"/>
              <w:left w:val="nil"/>
              <w:bottom w:val="nil"/>
              <w:right w:val="nil"/>
            </w:tcBorders>
            <w:shd w:val="clear" w:color="auto" w:fill="auto"/>
            <w:noWrap/>
            <w:vAlign w:val="bottom"/>
            <w:hideMark/>
          </w:tcPr>
          <w:p w14:paraId="751C7915" w14:textId="77777777" w:rsidR="008607AC" w:rsidRPr="006F4D00" w:rsidRDefault="008607AC" w:rsidP="008607AC">
            <w:pPr>
              <w:rPr>
                <w:color w:val="000000"/>
                <w:sz w:val="20"/>
                <w:szCs w:val="20"/>
              </w:rPr>
            </w:pPr>
            <w:r w:rsidRPr="006F4D00">
              <w:rPr>
                <w:color w:val="000000"/>
                <w:sz w:val="20"/>
                <w:szCs w:val="20"/>
              </w:rPr>
              <w:t>244</w:t>
            </w:r>
          </w:p>
        </w:tc>
        <w:tc>
          <w:tcPr>
            <w:tcW w:w="7453" w:type="dxa"/>
            <w:tcBorders>
              <w:top w:val="nil"/>
              <w:left w:val="nil"/>
              <w:bottom w:val="nil"/>
              <w:right w:val="nil"/>
            </w:tcBorders>
            <w:shd w:val="clear" w:color="auto" w:fill="auto"/>
            <w:noWrap/>
            <w:vAlign w:val="bottom"/>
            <w:hideMark/>
          </w:tcPr>
          <w:p w14:paraId="605E2000" w14:textId="77777777" w:rsidR="008607AC" w:rsidRPr="006F4D00" w:rsidRDefault="008607AC" w:rsidP="008607AC">
            <w:pPr>
              <w:rPr>
                <w:color w:val="000000"/>
                <w:sz w:val="20"/>
                <w:szCs w:val="20"/>
              </w:rPr>
            </w:pPr>
            <w:r w:rsidRPr="006F4D00">
              <w:rPr>
                <w:color w:val="000000"/>
                <w:sz w:val="20"/>
                <w:szCs w:val="20"/>
              </w:rPr>
              <w:t xml:space="preserve"> Cork, natural, raw &amp; </w:t>
            </w:r>
            <w:r w:rsidRPr="006F4D00">
              <w:rPr>
                <w:bCs/>
                <w:color w:val="000000"/>
                <w:sz w:val="20"/>
                <w:szCs w:val="20"/>
              </w:rPr>
              <w:t>waste (including in blocks/sheets) (1)</w:t>
            </w:r>
          </w:p>
        </w:tc>
      </w:tr>
      <w:tr w:rsidR="008607AC" w:rsidRPr="006F4D00" w14:paraId="306DF60E" w14:textId="77777777" w:rsidTr="008607AC">
        <w:trPr>
          <w:trHeight w:hRule="exact" w:val="227"/>
        </w:trPr>
        <w:tc>
          <w:tcPr>
            <w:tcW w:w="1217" w:type="dxa"/>
            <w:tcBorders>
              <w:top w:val="nil"/>
              <w:left w:val="nil"/>
              <w:bottom w:val="nil"/>
              <w:right w:val="nil"/>
            </w:tcBorders>
            <w:shd w:val="clear" w:color="auto" w:fill="auto"/>
            <w:noWrap/>
            <w:vAlign w:val="bottom"/>
            <w:hideMark/>
          </w:tcPr>
          <w:p w14:paraId="606C6991" w14:textId="77777777" w:rsidR="008607AC" w:rsidRPr="006F4D00" w:rsidRDefault="008607AC" w:rsidP="008607AC">
            <w:pPr>
              <w:rPr>
                <w:color w:val="000000"/>
                <w:sz w:val="20"/>
                <w:szCs w:val="20"/>
              </w:rPr>
            </w:pPr>
            <w:r w:rsidRPr="006F4D00">
              <w:rPr>
                <w:color w:val="000000"/>
                <w:sz w:val="20"/>
                <w:szCs w:val="20"/>
              </w:rPr>
              <w:t>25</w:t>
            </w:r>
          </w:p>
        </w:tc>
        <w:tc>
          <w:tcPr>
            <w:tcW w:w="7453" w:type="dxa"/>
            <w:tcBorders>
              <w:top w:val="nil"/>
              <w:left w:val="nil"/>
              <w:bottom w:val="nil"/>
              <w:right w:val="nil"/>
            </w:tcBorders>
            <w:shd w:val="clear" w:color="auto" w:fill="auto"/>
            <w:noWrap/>
            <w:vAlign w:val="bottom"/>
            <w:hideMark/>
          </w:tcPr>
          <w:p w14:paraId="3A1AC7C0" w14:textId="77777777" w:rsidR="008607AC" w:rsidRPr="006F4D00" w:rsidRDefault="008607AC" w:rsidP="008607AC">
            <w:pPr>
              <w:rPr>
                <w:color w:val="000000"/>
                <w:sz w:val="20"/>
                <w:szCs w:val="20"/>
              </w:rPr>
            </w:pPr>
            <w:r w:rsidRPr="006F4D00">
              <w:rPr>
                <w:color w:val="000000"/>
                <w:sz w:val="20"/>
                <w:szCs w:val="20"/>
              </w:rPr>
              <w:t xml:space="preserve"> Pulp and waste paper (7)</w:t>
            </w:r>
          </w:p>
        </w:tc>
      </w:tr>
      <w:tr w:rsidR="008607AC" w:rsidRPr="006F4D00" w14:paraId="0EA9B793" w14:textId="77777777" w:rsidTr="008607AC">
        <w:trPr>
          <w:trHeight w:hRule="exact" w:val="227"/>
        </w:trPr>
        <w:tc>
          <w:tcPr>
            <w:tcW w:w="1217" w:type="dxa"/>
            <w:tcBorders>
              <w:top w:val="nil"/>
              <w:left w:val="nil"/>
              <w:bottom w:val="nil"/>
              <w:right w:val="nil"/>
            </w:tcBorders>
            <w:shd w:val="clear" w:color="auto" w:fill="auto"/>
            <w:noWrap/>
            <w:vAlign w:val="bottom"/>
            <w:hideMark/>
          </w:tcPr>
          <w:p w14:paraId="058540BF" w14:textId="77777777" w:rsidR="008607AC" w:rsidRPr="006F4D00" w:rsidRDefault="008607AC" w:rsidP="008607AC">
            <w:pPr>
              <w:rPr>
                <w:color w:val="000000"/>
                <w:sz w:val="20"/>
                <w:szCs w:val="20"/>
              </w:rPr>
            </w:pPr>
            <w:r w:rsidRPr="006F4D00">
              <w:rPr>
                <w:color w:val="000000"/>
                <w:sz w:val="20"/>
                <w:szCs w:val="20"/>
              </w:rPr>
              <w:t>26</w:t>
            </w:r>
          </w:p>
        </w:tc>
        <w:tc>
          <w:tcPr>
            <w:tcW w:w="7453" w:type="dxa"/>
            <w:tcBorders>
              <w:top w:val="nil"/>
              <w:left w:val="nil"/>
              <w:bottom w:val="nil"/>
              <w:right w:val="nil"/>
            </w:tcBorders>
            <w:shd w:val="clear" w:color="auto" w:fill="auto"/>
            <w:noWrap/>
            <w:vAlign w:val="bottom"/>
            <w:hideMark/>
          </w:tcPr>
          <w:p w14:paraId="641181B4" w14:textId="77777777" w:rsidR="008607AC" w:rsidRPr="006F4D00" w:rsidRDefault="008607AC" w:rsidP="008607AC">
            <w:pPr>
              <w:rPr>
                <w:color w:val="000000"/>
                <w:sz w:val="20"/>
                <w:szCs w:val="20"/>
              </w:rPr>
            </w:pPr>
            <w:r w:rsidRPr="006F4D00">
              <w:rPr>
                <w:color w:val="000000"/>
                <w:sz w:val="20"/>
                <w:szCs w:val="20"/>
              </w:rPr>
              <w:t xml:space="preserve"> Textile fibres (except wool tops) and their wastes (30)</w:t>
            </w:r>
          </w:p>
        </w:tc>
      </w:tr>
      <w:tr w:rsidR="008607AC" w:rsidRPr="006F4D00" w14:paraId="7903789F" w14:textId="77777777" w:rsidTr="008607AC">
        <w:trPr>
          <w:trHeight w:hRule="exact" w:val="227"/>
        </w:trPr>
        <w:tc>
          <w:tcPr>
            <w:tcW w:w="1217" w:type="dxa"/>
            <w:tcBorders>
              <w:top w:val="nil"/>
              <w:left w:val="nil"/>
              <w:bottom w:val="nil"/>
              <w:right w:val="nil"/>
            </w:tcBorders>
            <w:shd w:val="clear" w:color="auto" w:fill="auto"/>
            <w:noWrap/>
            <w:vAlign w:val="bottom"/>
            <w:hideMark/>
          </w:tcPr>
          <w:p w14:paraId="1FF44C6F" w14:textId="77777777" w:rsidR="008607AC" w:rsidRPr="006F4D00" w:rsidRDefault="008607AC" w:rsidP="008607AC">
            <w:pPr>
              <w:rPr>
                <w:color w:val="000000"/>
                <w:sz w:val="20"/>
                <w:szCs w:val="20"/>
              </w:rPr>
            </w:pPr>
            <w:r w:rsidRPr="006F4D00">
              <w:rPr>
                <w:color w:val="000000"/>
                <w:sz w:val="20"/>
                <w:szCs w:val="20"/>
              </w:rPr>
              <w:t>277</w:t>
            </w:r>
          </w:p>
        </w:tc>
        <w:tc>
          <w:tcPr>
            <w:tcW w:w="7453" w:type="dxa"/>
            <w:tcBorders>
              <w:top w:val="nil"/>
              <w:left w:val="nil"/>
              <w:bottom w:val="nil"/>
              <w:right w:val="nil"/>
            </w:tcBorders>
            <w:shd w:val="clear" w:color="auto" w:fill="auto"/>
            <w:noWrap/>
            <w:vAlign w:val="bottom"/>
            <w:hideMark/>
          </w:tcPr>
          <w:p w14:paraId="7A25037B" w14:textId="77777777" w:rsidR="008607AC" w:rsidRPr="006F4D00" w:rsidRDefault="008607AC" w:rsidP="008607AC">
            <w:pPr>
              <w:rPr>
                <w:color w:val="000000"/>
                <w:sz w:val="20"/>
                <w:szCs w:val="20"/>
              </w:rPr>
            </w:pPr>
            <w:r w:rsidRPr="006F4D00">
              <w:rPr>
                <w:color w:val="000000"/>
                <w:sz w:val="20"/>
                <w:szCs w:val="20"/>
              </w:rPr>
              <w:t xml:space="preserve"> Natural abrasives, n.e.s (including industrial diamonds) (3)</w:t>
            </w:r>
          </w:p>
        </w:tc>
      </w:tr>
      <w:tr w:rsidR="008607AC" w:rsidRPr="006F4D00" w14:paraId="06BD70CD" w14:textId="77777777" w:rsidTr="008607AC">
        <w:trPr>
          <w:trHeight w:hRule="exact" w:val="227"/>
        </w:trPr>
        <w:tc>
          <w:tcPr>
            <w:tcW w:w="1217" w:type="dxa"/>
            <w:tcBorders>
              <w:top w:val="nil"/>
              <w:left w:val="nil"/>
              <w:bottom w:val="nil"/>
              <w:right w:val="nil"/>
            </w:tcBorders>
            <w:shd w:val="clear" w:color="auto" w:fill="auto"/>
            <w:noWrap/>
            <w:vAlign w:val="bottom"/>
            <w:hideMark/>
          </w:tcPr>
          <w:p w14:paraId="15375E2E" w14:textId="77777777" w:rsidR="008607AC" w:rsidRPr="006F4D00" w:rsidRDefault="008607AC" w:rsidP="008607AC">
            <w:pPr>
              <w:rPr>
                <w:color w:val="000000"/>
                <w:sz w:val="20"/>
                <w:szCs w:val="20"/>
              </w:rPr>
            </w:pPr>
            <w:r w:rsidRPr="006F4D00">
              <w:rPr>
                <w:color w:val="000000"/>
                <w:sz w:val="20"/>
                <w:szCs w:val="20"/>
              </w:rPr>
              <w:t>291</w:t>
            </w:r>
          </w:p>
        </w:tc>
        <w:tc>
          <w:tcPr>
            <w:tcW w:w="7453" w:type="dxa"/>
            <w:tcBorders>
              <w:top w:val="nil"/>
              <w:left w:val="nil"/>
              <w:bottom w:val="nil"/>
              <w:right w:val="nil"/>
            </w:tcBorders>
            <w:shd w:val="clear" w:color="auto" w:fill="auto"/>
            <w:noWrap/>
            <w:vAlign w:val="bottom"/>
            <w:hideMark/>
          </w:tcPr>
          <w:p w14:paraId="0824CC47" w14:textId="77777777" w:rsidR="008607AC" w:rsidRPr="006F4D00" w:rsidRDefault="008607AC" w:rsidP="008607AC">
            <w:pPr>
              <w:rPr>
                <w:color w:val="000000"/>
                <w:sz w:val="20"/>
                <w:szCs w:val="20"/>
              </w:rPr>
            </w:pPr>
            <w:r w:rsidRPr="006F4D00">
              <w:rPr>
                <w:color w:val="000000"/>
                <w:sz w:val="20"/>
                <w:szCs w:val="20"/>
              </w:rPr>
              <w:t xml:space="preserve"> Crude animal materials, n.e.s. (3)</w:t>
            </w:r>
          </w:p>
        </w:tc>
      </w:tr>
      <w:tr w:rsidR="008607AC" w:rsidRPr="006F4D00" w14:paraId="4AF70D42" w14:textId="77777777" w:rsidTr="008607AC">
        <w:trPr>
          <w:trHeight w:hRule="exact" w:val="227"/>
        </w:trPr>
        <w:tc>
          <w:tcPr>
            <w:tcW w:w="1217" w:type="dxa"/>
            <w:tcBorders>
              <w:top w:val="nil"/>
              <w:left w:val="nil"/>
              <w:bottom w:val="nil"/>
              <w:right w:val="nil"/>
            </w:tcBorders>
            <w:shd w:val="clear" w:color="auto" w:fill="auto"/>
            <w:noWrap/>
            <w:vAlign w:val="bottom"/>
            <w:hideMark/>
          </w:tcPr>
          <w:p w14:paraId="2C9D1402" w14:textId="77777777" w:rsidR="008607AC" w:rsidRPr="006F4D00" w:rsidRDefault="008607AC" w:rsidP="008607AC">
            <w:pPr>
              <w:rPr>
                <w:color w:val="000000"/>
                <w:sz w:val="20"/>
                <w:szCs w:val="20"/>
              </w:rPr>
            </w:pPr>
            <w:r w:rsidRPr="006F4D00">
              <w:rPr>
                <w:color w:val="000000"/>
                <w:sz w:val="20"/>
                <w:szCs w:val="20"/>
              </w:rPr>
              <w:t>411</w:t>
            </w:r>
          </w:p>
        </w:tc>
        <w:tc>
          <w:tcPr>
            <w:tcW w:w="7453" w:type="dxa"/>
            <w:tcBorders>
              <w:top w:val="nil"/>
              <w:left w:val="nil"/>
              <w:bottom w:val="nil"/>
              <w:right w:val="nil"/>
            </w:tcBorders>
            <w:shd w:val="clear" w:color="auto" w:fill="auto"/>
            <w:noWrap/>
            <w:vAlign w:val="bottom"/>
            <w:hideMark/>
          </w:tcPr>
          <w:p w14:paraId="211558A9" w14:textId="77777777" w:rsidR="008607AC" w:rsidRPr="006F4D00" w:rsidRDefault="008607AC" w:rsidP="008607AC">
            <w:pPr>
              <w:rPr>
                <w:color w:val="000000"/>
                <w:sz w:val="20"/>
                <w:szCs w:val="20"/>
              </w:rPr>
            </w:pPr>
            <w:r w:rsidRPr="006F4D00">
              <w:rPr>
                <w:color w:val="000000"/>
                <w:sz w:val="20"/>
                <w:szCs w:val="20"/>
              </w:rPr>
              <w:t xml:space="preserve"> Animal oils and fats (3)</w:t>
            </w:r>
          </w:p>
        </w:tc>
      </w:tr>
      <w:tr w:rsidR="008607AC" w:rsidRPr="006F4D00" w14:paraId="432794E4" w14:textId="77777777" w:rsidTr="008607AC">
        <w:trPr>
          <w:trHeight w:hRule="exact" w:val="227"/>
        </w:trPr>
        <w:tc>
          <w:tcPr>
            <w:tcW w:w="1217" w:type="dxa"/>
            <w:tcBorders>
              <w:top w:val="nil"/>
              <w:left w:val="nil"/>
              <w:bottom w:val="nil"/>
              <w:right w:val="nil"/>
            </w:tcBorders>
            <w:shd w:val="clear" w:color="auto" w:fill="auto"/>
            <w:noWrap/>
            <w:vAlign w:val="bottom"/>
            <w:hideMark/>
          </w:tcPr>
          <w:p w14:paraId="02C469DB" w14:textId="77777777" w:rsidR="008607AC" w:rsidRPr="006F4D00" w:rsidRDefault="008607AC" w:rsidP="008607AC">
            <w:pPr>
              <w:rPr>
                <w:color w:val="000000"/>
                <w:sz w:val="20"/>
                <w:szCs w:val="20"/>
              </w:rPr>
            </w:pPr>
            <w:r w:rsidRPr="006F4D00">
              <w:rPr>
                <w:color w:val="000000"/>
                <w:sz w:val="20"/>
                <w:szCs w:val="20"/>
              </w:rPr>
              <w:t>423</w:t>
            </w:r>
          </w:p>
        </w:tc>
        <w:tc>
          <w:tcPr>
            <w:tcW w:w="7453" w:type="dxa"/>
            <w:tcBorders>
              <w:top w:val="nil"/>
              <w:left w:val="nil"/>
              <w:bottom w:val="nil"/>
              <w:right w:val="nil"/>
            </w:tcBorders>
            <w:shd w:val="clear" w:color="auto" w:fill="auto"/>
            <w:noWrap/>
            <w:vAlign w:val="bottom"/>
            <w:hideMark/>
          </w:tcPr>
          <w:p w14:paraId="441DB7F9" w14:textId="77777777" w:rsidR="008607AC" w:rsidRPr="006F4D00" w:rsidRDefault="008607AC" w:rsidP="008607AC">
            <w:pPr>
              <w:rPr>
                <w:color w:val="000000"/>
                <w:sz w:val="20"/>
                <w:szCs w:val="20"/>
              </w:rPr>
            </w:pPr>
            <w:r w:rsidRPr="006F4D00">
              <w:rPr>
                <w:color w:val="000000"/>
                <w:sz w:val="20"/>
                <w:szCs w:val="20"/>
              </w:rPr>
              <w:t xml:space="preserve"> Fixed vegetable oils, soft, crude, refined/purified (7)</w:t>
            </w:r>
          </w:p>
        </w:tc>
      </w:tr>
      <w:tr w:rsidR="008607AC" w:rsidRPr="006F4D00" w14:paraId="58E3361C" w14:textId="77777777" w:rsidTr="008607AC">
        <w:trPr>
          <w:trHeight w:hRule="exact" w:val="227"/>
        </w:trPr>
        <w:tc>
          <w:tcPr>
            <w:tcW w:w="1217" w:type="dxa"/>
            <w:tcBorders>
              <w:top w:val="nil"/>
              <w:left w:val="nil"/>
              <w:bottom w:val="nil"/>
              <w:right w:val="nil"/>
            </w:tcBorders>
            <w:shd w:val="clear" w:color="auto" w:fill="auto"/>
            <w:noWrap/>
            <w:vAlign w:val="bottom"/>
            <w:hideMark/>
          </w:tcPr>
          <w:p w14:paraId="6087B99B" w14:textId="77777777" w:rsidR="008607AC" w:rsidRPr="006F4D00" w:rsidRDefault="008607AC" w:rsidP="008607AC">
            <w:pPr>
              <w:rPr>
                <w:color w:val="000000"/>
                <w:sz w:val="20"/>
                <w:szCs w:val="20"/>
              </w:rPr>
            </w:pPr>
            <w:r w:rsidRPr="006F4D00">
              <w:rPr>
                <w:color w:val="000000"/>
                <w:sz w:val="20"/>
                <w:szCs w:val="20"/>
              </w:rPr>
              <w:t>424</w:t>
            </w:r>
          </w:p>
        </w:tc>
        <w:tc>
          <w:tcPr>
            <w:tcW w:w="7453" w:type="dxa"/>
            <w:tcBorders>
              <w:top w:val="nil"/>
              <w:left w:val="nil"/>
              <w:bottom w:val="nil"/>
              <w:right w:val="nil"/>
            </w:tcBorders>
            <w:shd w:val="clear" w:color="auto" w:fill="auto"/>
            <w:noWrap/>
            <w:vAlign w:val="bottom"/>
            <w:hideMark/>
          </w:tcPr>
          <w:p w14:paraId="51E853C9" w14:textId="77777777" w:rsidR="008607AC" w:rsidRPr="006F4D00" w:rsidRDefault="008607AC" w:rsidP="008607AC">
            <w:pPr>
              <w:rPr>
                <w:color w:val="000000"/>
                <w:sz w:val="20"/>
                <w:szCs w:val="20"/>
              </w:rPr>
            </w:pPr>
            <w:r w:rsidRPr="006F4D00">
              <w:rPr>
                <w:color w:val="000000"/>
                <w:sz w:val="20"/>
                <w:szCs w:val="20"/>
              </w:rPr>
              <w:t xml:space="preserve"> Other fixed vegetable oils, fluid or solid, crude (7) </w:t>
            </w:r>
          </w:p>
        </w:tc>
      </w:tr>
      <w:tr w:rsidR="008607AC" w:rsidRPr="006F4D00" w14:paraId="695DC71E" w14:textId="77777777" w:rsidTr="008607AC">
        <w:trPr>
          <w:trHeight w:hRule="exact" w:val="227"/>
        </w:trPr>
        <w:tc>
          <w:tcPr>
            <w:tcW w:w="1217" w:type="dxa"/>
            <w:tcBorders>
              <w:top w:val="nil"/>
              <w:left w:val="nil"/>
              <w:bottom w:val="nil"/>
              <w:right w:val="nil"/>
            </w:tcBorders>
            <w:shd w:val="clear" w:color="auto" w:fill="auto"/>
            <w:noWrap/>
            <w:vAlign w:val="bottom"/>
            <w:hideMark/>
          </w:tcPr>
          <w:p w14:paraId="1F9FC630" w14:textId="77777777" w:rsidR="008607AC" w:rsidRPr="006F4D00" w:rsidRDefault="008607AC" w:rsidP="008607AC">
            <w:pPr>
              <w:rPr>
                <w:color w:val="000000"/>
                <w:sz w:val="20"/>
                <w:szCs w:val="20"/>
              </w:rPr>
            </w:pPr>
            <w:r w:rsidRPr="006F4D00">
              <w:rPr>
                <w:color w:val="000000"/>
                <w:sz w:val="20"/>
                <w:szCs w:val="20"/>
              </w:rPr>
              <w:t>431</w:t>
            </w:r>
          </w:p>
        </w:tc>
        <w:tc>
          <w:tcPr>
            <w:tcW w:w="7453" w:type="dxa"/>
            <w:tcBorders>
              <w:top w:val="nil"/>
              <w:left w:val="nil"/>
              <w:bottom w:val="nil"/>
              <w:right w:val="nil"/>
            </w:tcBorders>
            <w:shd w:val="clear" w:color="auto" w:fill="auto"/>
            <w:noWrap/>
            <w:vAlign w:val="bottom"/>
            <w:hideMark/>
          </w:tcPr>
          <w:p w14:paraId="4F82D622" w14:textId="77777777" w:rsidR="008607AC" w:rsidRPr="006F4D00" w:rsidRDefault="008607AC" w:rsidP="008607AC">
            <w:pPr>
              <w:rPr>
                <w:color w:val="000000"/>
                <w:sz w:val="20"/>
                <w:szCs w:val="20"/>
              </w:rPr>
            </w:pPr>
            <w:r w:rsidRPr="006F4D00">
              <w:rPr>
                <w:color w:val="000000"/>
                <w:sz w:val="20"/>
                <w:szCs w:val="20"/>
              </w:rPr>
              <w:t xml:space="preserve"> Animal &amp; vegetable oils and fats, processed &amp;  waxes (5)</w:t>
            </w:r>
          </w:p>
        </w:tc>
      </w:tr>
      <w:tr w:rsidR="008607AC" w:rsidRPr="006F4D00" w14:paraId="0C42D29B" w14:textId="77777777" w:rsidTr="008607AC">
        <w:trPr>
          <w:trHeight w:hRule="exact" w:val="227"/>
        </w:trPr>
        <w:tc>
          <w:tcPr>
            <w:tcW w:w="1217" w:type="dxa"/>
            <w:tcBorders>
              <w:top w:val="nil"/>
              <w:left w:val="nil"/>
              <w:bottom w:val="nil"/>
              <w:right w:val="nil"/>
            </w:tcBorders>
            <w:shd w:val="clear" w:color="auto" w:fill="auto"/>
            <w:noWrap/>
            <w:vAlign w:val="bottom"/>
            <w:hideMark/>
          </w:tcPr>
          <w:p w14:paraId="4DACB1E6" w14:textId="77777777" w:rsidR="008607AC" w:rsidRPr="006F4D00" w:rsidRDefault="008607AC" w:rsidP="008607AC">
            <w:pPr>
              <w:rPr>
                <w:color w:val="000000"/>
                <w:sz w:val="20"/>
                <w:szCs w:val="20"/>
              </w:rPr>
            </w:pPr>
            <w:r w:rsidRPr="006F4D00">
              <w:rPr>
                <w:color w:val="000000"/>
                <w:sz w:val="20"/>
                <w:szCs w:val="20"/>
              </w:rPr>
              <w:t>53</w:t>
            </w:r>
          </w:p>
        </w:tc>
        <w:tc>
          <w:tcPr>
            <w:tcW w:w="7453" w:type="dxa"/>
            <w:tcBorders>
              <w:top w:val="nil"/>
              <w:left w:val="nil"/>
              <w:bottom w:val="nil"/>
              <w:right w:val="nil"/>
            </w:tcBorders>
            <w:shd w:val="clear" w:color="auto" w:fill="auto"/>
            <w:noWrap/>
            <w:vAlign w:val="bottom"/>
            <w:hideMark/>
          </w:tcPr>
          <w:p w14:paraId="7531A2E3" w14:textId="77777777" w:rsidR="008607AC" w:rsidRPr="006F4D00" w:rsidRDefault="008607AC" w:rsidP="008607AC">
            <w:pPr>
              <w:rPr>
                <w:color w:val="000000"/>
                <w:sz w:val="20"/>
                <w:szCs w:val="20"/>
              </w:rPr>
            </w:pPr>
            <w:r w:rsidRPr="006F4D00">
              <w:rPr>
                <w:color w:val="000000"/>
                <w:sz w:val="20"/>
                <w:szCs w:val="20"/>
              </w:rPr>
              <w:t xml:space="preserve"> Dyeing, tanning and colouring materials (11)</w:t>
            </w:r>
          </w:p>
        </w:tc>
      </w:tr>
      <w:tr w:rsidR="008607AC" w:rsidRPr="006F4D00" w14:paraId="25F0903A" w14:textId="77777777" w:rsidTr="008607AC">
        <w:trPr>
          <w:trHeight w:hRule="exact" w:val="227"/>
        </w:trPr>
        <w:tc>
          <w:tcPr>
            <w:tcW w:w="1217" w:type="dxa"/>
            <w:tcBorders>
              <w:top w:val="nil"/>
              <w:left w:val="nil"/>
              <w:bottom w:val="nil"/>
              <w:right w:val="nil"/>
            </w:tcBorders>
            <w:shd w:val="clear" w:color="auto" w:fill="auto"/>
            <w:noWrap/>
            <w:vAlign w:val="bottom"/>
            <w:hideMark/>
          </w:tcPr>
          <w:p w14:paraId="7A964CC3" w14:textId="77777777" w:rsidR="008607AC" w:rsidRPr="006F4D00" w:rsidRDefault="008607AC" w:rsidP="008607AC">
            <w:pPr>
              <w:rPr>
                <w:color w:val="000000"/>
                <w:sz w:val="20"/>
                <w:szCs w:val="20"/>
              </w:rPr>
            </w:pPr>
            <w:r w:rsidRPr="006F4D00">
              <w:rPr>
                <w:color w:val="000000"/>
                <w:sz w:val="20"/>
                <w:szCs w:val="20"/>
              </w:rPr>
              <w:t>54</w:t>
            </w:r>
          </w:p>
        </w:tc>
        <w:tc>
          <w:tcPr>
            <w:tcW w:w="7453" w:type="dxa"/>
            <w:tcBorders>
              <w:top w:val="nil"/>
              <w:left w:val="nil"/>
              <w:bottom w:val="nil"/>
              <w:right w:val="nil"/>
            </w:tcBorders>
            <w:shd w:val="clear" w:color="auto" w:fill="auto"/>
            <w:noWrap/>
            <w:vAlign w:val="bottom"/>
            <w:hideMark/>
          </w:tcPr>
          <w:p w14:paraId="730BC77A" w14:textId="77777777" w:rsidR="008607AC" w:rsidRPr="006F4D00" w:rsidRDefault="008607AC" w:rsidP="008607AC">
            <w:pPr>
              <w:rPr>
                <w:color w:val="000000"/>
                <w:sz w:val="20"/>
                <w:szCs w:val="20"/>
              </w:rPr>
            </w:pPr>
            <w:r w:rsidRPr="006F4D00">
              <w:rPr>
                <w:color w:val="000000"/>
                <w:sz w:val="20"/>
                <w:szCs w:val="20"/>
              </w:rPr>
              <w:t xml:space="preserve"> Medicinal and pharmaceutical products (8)</w:t>
            </w:r>
          </w:p>
        </w:tc>
      </w:tr>
      <w:tr w:rsidR="008607AC" w:rsidRPr="006F4D00" w14:paraId="43BB6E30" w14:textId="77777777" w:rsidTr="008607AC">
        <w:trPr>
          <w:trHeight w:hRule="exact" w:val="227"/>
        </w:trPr>
        <w:tc>
          <w:tcPr>
            <w:tcW w:w="1217" w:type="dxa"/>
            <w:tcBorders>
              <w:top w:val="nil"/>
              <w:left w:val="nil"/>
              <w:bottom w:val="nil"/>
              <w:right w:val="nil"/>
            </w:tcBorders>
            <w:shd w:val="clear" w:color="auto" w:fill="auto"/>
            <w:noWrap/>
            <w:vAlign w:val="bottom"/>
            <w:hideMark/>
          </w:tcPr>
          <w:p w14:paraId="18D9D31F" w14:textId="77777777" w:rsidR="008607AC" w:rsidRPr="006F4D00" w:rsidRDefault="008607AC" w:rsidP="008607AC">
            <w:pPr>
              <w:rPr>
                <w:color w:val="000000"/>
                <w:sz w:val="20"/>
                <w:szCs w:val="20"/>
              </w:rPr>
            </w:pPr>
            <w:r w:rsidRPr="006F4D00">
              <w:rPr>
                <w:color w:val="000000"/>
                <w:sz w:val="20"/>
                <w:szCs w:val="20"/>
              </w:rPr>
              <w:t>55</w:t>
            </w:r>
          </w:p>
        </w:tc>
        <w:tc>
          <w:tcPr>
            <w:tcW w:w="7453" w:type="dxa"/>
            <w:tcBorders>
              <w:top w:val="nil"/>
              <w:left w:val="nil"/>
              <w:bottom w:val="nil"/>
              <w:right w:val="nil"/>
            </w:tcBorders>
            <w:shd w:val="clear" w:color="auto" w:fill="auto"/>
            <w:noWrap/>
            <w:vAlign w:val="bottom"/>
            <w:hideMark/>
          </w:tcPr>
          <w:p w14:paraId="7784FBC3" w14:textId="77777777" w:rsidR="008607AC" w:rsidRPr="006F4D00" w:rsidRDefault="008607AC" w:rsidP="008607AC">
            <w:pPr>
              <w:rPr>
                <w:color w:val="000000"/>
                <w:sz w:val="20"/>
                <w:szCs w:val="20"/>
              </w:rPr>
            </w:pPr>
            <w:r w:rsidRPr="006F4D00">
              <w:rPr>
                <w:color w:val="000000"/>
                <w:sz w:val="20"/>
                <w:szCs w:val="20"/>
              </w:rPr>
              <w:t xml:space="preserve"> Essential oils &amp; perfume materials; toilet polishing and cleansing preparations (9)</w:t>
            </w:r>
          </w:p>
        </w:tc>
      </w:tr>
      <w:tr w:rsidR="008607AC" w:rsidRPr="006F4D00" w14:paraId="53E7F655" w14:textId="77777777" w:rsidTr="008607AC">
        <w:trPr>
          <w:trHeight w:hRule="exact" w:val="227"/>
        </w:trPr>
        <w:tc>
          <w:tcPr>
            <w:tcW w:w="1217" w:type="dxa"/>
            <w:tcBorders>
              <w:top w:val="nil"/>
              <w:left w:val="nil"/>
              <w:bottom w:val="nil"/>
              <w:right w:val="nil"/>
            </w:tcBorders>
            <w:shd w:val="clear" w:color="auto" w:fill="auto"/>
            <w:noWrap/>
            <w:vAlign w:val="bottom"/>
            <w:hideMark/>
          </w:tcPr>
          <w:p w14:paraId="087EF524" w14:textId="77777777" w:rsidR="008607AC" w:rsidRPr="006F4D00" w:rsidRDefault="008607AC" w:rsidP="008607AC">
            <w:pPr>
              <w:rPr>
                <w:color w:val="000000"/>
                <w:sz w:val="20"/>
                <w:szCs w:val="20"/>
              </w:rPr>
            </w:pPr>
            <w:r w:rsidRPr="006F4D00">
              <w:rPr>
                <w:color w:val="000000"/>
                <w:sz w:val="20"/>
                <w:szCs w:val="20"/>
              </w:rPr>
              <w:t>58</w:t>
            </w:r>
          </w:p>
        </w:tc>
        <w:tc>
          <w:tcPr>
            <w:tcW w:w="7453" w:type="dxa"/>
            <w:tcBorders>
              <w:top w:val="nil"/>
              <w:left w:val="nil"/>
              <w:bottom w:val="nil"/>
              <w:right w:val="nil"/>
            </w:tcBorders>
            <w:shd w:val="clear" w:color="auto" w:fill="auto"/>
            <w:noWrap/>
            <w:vAlign w:val="bottom"/>
            <w:hideMark/>
          </w:tcPr>
          <w:p w14:paraId="098F276B" w14:textId="77777777" w:rsidR="008607AC" w:rsidRPr="006F4D00" w:rsidRDefault="008607AC" w:rsidP="008607AC">
            <w:pPr>
              <w:rPr>
                <w:color w:val="000000"/>
                <w:sz w:val="20"/>
                <w:szCs w:val="20"/>
              </w:rPr>
            </w:pPr>
            <w:r w:rsidRPr="006F4D00">
              <w:rPr>
                <w:color w:val="000000"/>
                <w:sz w:val="20"/>
                <w:szCs w:val="20"/>
              </w:rPr>
              <w:t xml:space="preserve"> Artificial resins, plastic materials, cellulose esters and ethers (29) </w:t>
            </w:r>
          </w:p>
        </w:tc>
      </w:tr>
      <w:tr w:rsidR="008607AC" w:rsidRPr="006F4D00" w14:paraId="146BF0E5" w14:textId="77777777" w:rsidTr="008607AC">
        <w:trPr>
          <w:trHeight w:hRule="exact" w:val="227"/>
        </w:trPr>
        <w:tc>
          <w:tcPr>
            <w:tcW w:w="1217" w:type="dxa"/>
            <w:tcBorders>
              <w:top w:val="nil"/>
              <w:left w:val="nil"/>
              <w:bottom w:val="nil"/>
              <w:right w:val="nil"/>
            </w:tcBorders>
            <w:shd w:val="clear" w:color="auto" w:fill="auto"/>
            <w:noWrap/>
            <w:vAlign w:val="bottom"/>
            <w:hideMark/>
          </w:tcPr>
          <w:p w14:paraId="04E1F925" w14:textId="77777777" w:rsidR="008607AC" w:rsidRPr="006F4D00" w:rsidRDefault="008607AC" w:rsidP="008607AC">
            <w:pPr>
              <w:rPr>
                <w:color w:val="000000"/>
                <w:sz w:val="20"/>
                <w:szCs w:val="20"/>
              </w:rPr>
            </w:pPr>
            <w:r w:rsidRPr="006F4D00">
              <w:rPr>
                <w:color w:val="000000"/>
                <w:sz w:val="20"/>
                <w:szCs w:val="20"/>
              </w:rPr>
              <w:t>59</w:t>
            </w:r>
          </w:p>
        </w:tc>
        <w:tc>
          <w:tcPr>
            <w:tcW w:w="7453" w:type="dxa"/>
            <w:tcBorders>
              <w:top w:val="nil"/>
              <w:left w:val="nil"/>
              <w:bottom w:val="nil"/>
              <w:right w:val="nil"/>
            </w:tcBorders>
            <w:shd w:val="clear" w:color="auto" w:fill="auto"/>
            <w:noWrap/>
            <w:vAlign w:val="bottom"/>
            <w:hideMark/>
          </w:tcPr>
          <w:p w14:paraId="6C1FA0E2" w14:textId="77777777" w:rsidR="008607AC" w:rsidRPr="006F4D00" w:rsidRDefault="008607AC" w:rsidP="008607AC">
            <w:pPr>
              <w:rPr>
                <w:color w:val="000000"/>
                <w:sz w:val="20"/>
                <w:szCs w:val="20"/>
              </w:rPr>
            </w:pPr>
            <w:r w:rsidRPr="006F4D00">
              <w:rPr>
                <w:color w:val="000000"/>
                <w:sz w:val="20"/>
                <w:szCs w:val="20"/>
              </w:rPr>
              <w:t xml:space="preserve"> Chemical materials and products, n.e.s. (13) </w:t>
            </w:r>
          </w:p>
        </w:tc>
      </w:tr>
      <w:tr w:rsidR="008607AC" w:rsidRPr="006F4D00" w14:paraId="0EE40ED5" w14:textId="77777777" w:rsidTr="008607AC">
        <w:trPr>
          <w:trHeight w:hRule="exact" w:val="227"/>
        </w:trPr>
        <w:tc>
          <w:tcPr>
            <w:tcW w:w="1217" w:type="dxa"/>
            <w:tcBorders>
              <w:top w:val="nil"/>
              <w:left w:val="nil"/>
              <w:bottom w:val="nil"/>
              <w:right w:val="nil"/>
            </w:tcBorders>
            <w:shd w:val="clear" w:color="auto" w:fill="auto"/>
            <w:noWrap/>
            <w:vAlign w:val="bottom"/>
            <w:hideMark/>
          </w:tcPr>
          <w:p w14:paraId="0C053F29" w14:textId="77777777" w:rsidR="008607AC" w:rsidRPr="006F4D00" w:rsidRDefault="008607AC" w:rsidP="008607AC">
            <w:pPr>
              <w:rPr>
                <w:color w:val="000000"/>
                <w:sz w:val="20"/>
                <w:szCs w:val="20"/>
              </w:rPr>
            </w:pPr>
            <w:r w:rsidRPr="006F4D00">
              <w:rPr>
                <w:color w:val="000000"/>
                <w:sz w:val="20"/>
                <w:szCs w:val="20"/>
              </w:rPr>
              <w:t>61</w:t>
            </w:r>
          </w:p>
        </w:tc>
        <w:tc>
          <w:tcPr>
            <w:tcW w:w="7453" w:type="dxa"/>
            <w:tcBorders>
              <w:top w:val="nil"/>
              <w:left w:val="nil"/>
              <w:bottom w:val="nil"/>
              <w:right w:val="nil"/>
            </w:tcBorders>
            <w:shd w:val="clear" w:color="auto" w:fill="auto"/>
            <w:noWrap/>
            <w:vAlign w:val="bottom"/>
            <w:hideMark/>
          </w:tcPr>
          <w:p w14:paraId="4054C3B0" w14:textId="77777777" w:rsidR="008607AC" w:rsidRPr="006F4D00" w:rsidRDefault="008607AC" w:rsidP="008607AC">
            <w:pPr>
              <w:rPr>
                <w:color w:val="000000"/>
                <w:sz w:val="20"/>
                <w:szCs w:val="20"/>
              </w:rPr>
            </w:pPr>
            <w:r w:rsidRPr="006F4D00">
              <w:rPr>
                <w:color w:val="000000"/>
                <w:sz w:val="20"/>
                <w:szCs w:val="20"/>
              </w:rPr>
              <w:t xml:space="preserve"> Leather, leather manufactures, n.e.s. and dressed furskins (13) </w:t>
            </w:r>
          </w:p>
        </w:tc>
      </w:tr>
      <w:tr w:rsidR="008607AC" w:rsidRPr="006F4D00" w14:paraId="2001E238" w14:textId="77777777" w:rsidTr="008607AC">
        <w:trPr>
          <w:trHeight w:hRule="exact" w:val="227"/>
        </w:trPr>
        <w:tc>
          <w:tcPr>
            <w:tcW w:w="1217" w:type="dxa"/>
            <w:tcBorders>
              <w:top w:val="nil"/>
              <w:left w:val="nil"/>
              <w:bottom w:val="nil"/>
              <w:right w:val="nil"/>
            </w:tcBorders>
            <w:shd w:val="clear" w:color="auto" w:fill="auto"/>
            <w:noWrap/>
            <w:vAlign w:val="bottom"/>
            <w:hideMark/>
          </w:tcPr>
          <w:p w14:paraId="5E19B753" w14:textId="77777777" w:rsidR="008607AC" w:rsidRPr="006F4D00" w:rsidRDefault="008607AC" w:rsidP="008607AC">
            <w:pPr>
              <w:rPr>
                <w:color w:val="000000"/>
                <w:sz w:val="20"/>
                <w:szCs w:val="20"/>
              </w:rPr>
            </w:pPr>
            <w:r w:rsidRPr="006F4D00">
              <w:rPr>
                <w:color w:val="000000"/>
                <w:sz w:val="20"/>
                <w:szCs w:val="20"/>
              </w:rPr>
              <w:t>62</w:t>
            </w:r>
          </w:p>
        </w:tc>
        <w:tc>
          <w:tcPr>
            <w:tcW w:w="7453" w:type="dxa"/>
            <w:tcBorders>
              <w:top w:val="nil"/>
              <w:left w:val="nil"/>
              <w:bottom w:val="nil"/>
              <w:right w:val="nil"/>
            </w:tcBorders>
            <w:shd w:val="clear" w:color="auto" w:fill="auto"/>
            <w:noWrap/>
            <w:vAlign w:val="bottom"/>
            <w:hideMark/>
          </w:tcPr>
          <w:p w14:paraId="1B9AE2F7" w14:textId="77777777" w:rsidR="008607AC" w:rsidRPr="006F4D00" w:rsidRDefault="008607AC" w:rsidP="008607AC">
            <w:pPr>
              <w:rPr>
                <w:color w:val="000000"/>
                <w:sz w:val="20"/>
                <w:szCs w:val="20"/>
              </w:rPr>
            </w:pPr>
            <w:r w:rsidRPr="006F4D00">
              <w:rPr>
                <w:color w:val="000000"/>
                <w:sz w:val="20"/>
                <w:szCs w:val="20"/>
              </w:rPr>
              <w:t xml:space="preserve"> Rubber manufactures, n.e.s. (13)</w:t>
            </w:r>
          </w:p>
        </w:tc>
      </w:tr>
      <w:tr w:rsidR="008607AC" w:rsidRPr="006F4D00" w14:paraId="3901D7AB" w14:textId="77777777" w:rsidTr="008607AC">
        <w:trPr>
          <w:trHeight w:hRule="exact" w:val="227"/>
        </w:trPr>
        <w:tc>
          <w:tcPr>
            <w:tcW w:w="1217" w:type="dxa"/>
            <w:tcBorders>
              <w:top w:val="nil"/>
              <w:left w:val="nil"/>
              <w:bottom w:val="nil"/>
              <w:right w:val="nil"/>
            </w:tcBorders>
            <w:shd w:val="clear" w:color="auto" w:fill="auto"/>
            <w:noWrap/>
            <w:vAlign w:val="bottom"/>
            <w:hideMark/>
          </w:tcPr>
          <w:p w14:paraId="03503293" w14:textId="77777777" w:rsidR="008607AC" w:rsidRPr="006F4D00" w:rsidRDefault="008607AC" w:rsidP="008607AC">
            <w:pPr>
              <w:rPr>
                <w:color w:val="000000"/>
                <w:sz w:val="20"/>
                <w:szCs w:val="20"/>
              </w:rPr>
            </w:pPr>
            <w:r w:rsidRPr="006F4D00">
              <w:rPr>
                <w:color w:val="000000"/>
                <w:sz w:val="20"/>
                <w:szCs w:val="20"/>
              </w:rPr>
              <w:t>63</w:t>
            </w:r>
          </w:p>
        </w:tc>
        <w:tc>
          <w:tcPr>
            <w:tcW w:w="7453" w:type="dxa"/>
            <w:tcBorders>
              <w:top w:val="nil"/>
              <w:left w:val="nil"/>
              <w:bottom w:val="nil"/>
              <w:right w:val="nil"/>
            </w:tcBorders>
            <w:shd w:val="clear" w:color="auto" w:fill="auto"/>
            <w:noWrap/>
            <w:vAlign w:val="bottom"/>
            <w:hideMark/>
          </w:tcPr>
          <w:p w14:paraId="36B0D5AB" w14:textId="77777777" w:rsidR="008607AC" w:rsidRPr="006F4D00" w:rsidRDefault="008607AC" w:rsidP="008607AC">
            <w:pPr>
              <w:rPr>
                <w:color w:val="000000"/>
                <w:sz w:val="20"/>
                <w:szCs w:val="20"/>
              </w:rPr>
            </w:pPr>
            <w:r w:rsidRPr="006F4D00">
              <w:rPr>
                <w:color w:val="000000"/>
                <w:sz w:val="20"/>
                <w:szCs w:val="20"/>
              </w:rPr>
              <w:t xml:space="preserve"> Cork and wood manufactures (excluding furniture) (13)</w:t>
            </w:r>
          </w:p>
        </w:tc>
      </w:tr>
      <w:tr w:rsidR="008607AC" w:rsidRPr="006F4D00" w14:paraId="145BE5EB" w14:textId="77777777" w:rsidTr="008607AC">
        <w:trPr>
          <w:trHeight w:hRule="exact" w:val="227"/>
        </w:trPr>
        <w:tc>
          <w:tcPr>
            <w:tcW w:w="1217" w:type="dxa"/>
            <w:tcBorders>
              <w:top w:val="nil"/>
              <w:left w:val="nil"/>
              <w:bottom w:val="nil"/>
              <w:right w:val="nil"/>
            </w:tcBorders>
            <w:shd w:val="clear" w:color="auto" w:fill="auto"/>
            <w:noWrap/>
            <w:vAlign w:val="bottom"/>
            <w:hideMark/>
          </w:tcPr>
          <w:p w14:paraId="16BB7DBC" w14:textId="77777777" w:rsidR="008607AC" w:rsidRPr="006F4D00" w:rsidRDefault="008607AC" w:rsidP="008607AC">
            <w:pPr>
              <w:rPr>
                <w:color w:val="000000"/>
                <w:sz w:val="20"/>
                <w:szCs w:val="20"/>
              </w:rPr>
            </w:pPr>
            <w:r w:rsidRPr="006F4D00">
              <w:rPr>
                <w:color w:val="000000"/>
                <w:sz w:val="20"/>
                <w:szCs w:val="20"/>
              </w:rPr>
              <w:t>64</w:t>
            </w:r>
          </w:p>
        </w:tc>
        <w:tc>
          <w:tcPr>
            <w:tcW w:w="7453" w:type="dxa"/>
            <w:tcBorders>
              <w:top w:val="nil"/>
              <w:left w:val="nil"/>
              <w:bottom w:val="nil"/>
              <w:right w:val="nil"/>
            </w:tcBorders>
            <w:shd w:val="clear" w:color="auto" w:fill="auto"/>
            <w:noWrap/>
            <w:vAlign w:val="bottom"/>
            <w:hideMark/>
          </w:tcPr>
          <w:p w14:paraId="31D35B22" w14:textId="77777777" w:rsidR="008607AC" w:rsidRPr="006F4D00" w:rsidRDefault="008607AC" w:rsidP="008607AC">
            <w:pPr>
              <w:rPr>
                <w:color w:val="000000"/>
                <w:sz w:val="20"/>
                <w:szCs w:val="20"/>
              </w:rPr>
            </w:pPr>
            <w:r w:rsidRPr="006F4D00">
              <w:rPr>
                <w:color w:val="000000"/>
                <w:sz w:val="20"/>
                <w:szCs w:val="20"/>
              </w:rPr>
              <w:t xml:space="preserve"> Paper, paperboard, articles of paper, paper-pulp/board (15)</w:t>
            </w:r>
          </w:p>
        </w:tc>
      </w:tr>
      <w:tr w:rsidR="008607AC" w:rsidRPr="006F4D00" w14:paraId="33C87FC0" w14:textId="77777777" w:rsidTr="008607AC">
        <w:trPr>
          <w:trHeight w:hRule="exact" w:val="227"/>
        </w:trPr>
        <w:tc>
          <w:tcPr>
            <w:tcW w:w="1217" w:type="dxa"/>
            <w:tcBorders>
              <w:top w:val="nil"/>
              <w:left w:val="nil"/>
              <w:bottom w:val="nil"/>
              <w:right w:val="nil"/>
            </w:tcBorders>
            <w:shd w:val="clear" w:color="auto" w:fill="auto"/>
            <w:noWrap/>
            <w:vAlign w:val="bottom"/>
            <w:hideMark/>
          </w:tcPr>
          <w:p w14:paraId="2490358D" w14:textId="77777777" w:rsidR="008607AC" w:rsidRPr="006F4D00" w:rsidRDefault="008607AC" w:rsidP="008607AC">
            <w:pPr>
              <w:rPr>
                <w:color w:val="000000"/>
                <w:sz w:val="20"/>
                <w:szCs w:val="20"/>
              </w:rPr>
            </w:pPr>
            <w:r w:rsidRPr="006F4D00">
              <w:rPr>
                <w:color w:val="000000"/>
                <w:sz w:val="20"/>
                <w:szCs w:val="20"/>
              </w:rPr>
              <w:t>65</w:t>
            </w:r>
          </w:p>
        </w:tc>
        <w:tc>
          <w:tcPr>
            <w:tcW w:w="7453" w:type="dxa"/>
            <w:tcBorders>
              <w:top w:val="nil"/>
              <w:left w:val="nil"/>
              <w:bottom w:val="nil"/>
              <w:right w:val="nil"/>
            </w:tcBorders>
            <w:shd w:val="clear" w:color="auto" w:fill="auto"/>
            <w:noWrap/>
            <w:vAlign w:val="bottom"/>
            <w:hideMark/>
          </w:tcPr>
          <w:p w14:paraId="4B631925" w14:textId="77777777" w:rsidR="008607AC" w:rsidRPr="006F4D00" w:rsidRDefault="008607AC" w:rsidP="008607AC">
            <w:pPr>
              <w:rPr>
                <w:color w:val="000000"/>
                <w:sz w:val="20"/>
                <w:szCs w:val="20"/>
              </w:rPr>
            </w:pPr>
            <w:r w:rsidRPr="006F4D00">
              <w:rPr>
                <w:color w:val="000000"/>
                <w:sz w:val="20"/>
                <w:szCs w:val="20"/>
              </w:rPr>
              <w:t xml:space="preserve"> Textile yarn, fabrics, made-up articles, related products (61)</w:t>
            </w:r>
          </w:p>
        </w:tc>
      </w:tr>
      <w:tr w:rsidR="008607AC" w:rsidRPr="006F4D00" w14:paraId="12BABDD0" w14:textId="77777777" w:rsidTr="008607AC">
        <w:trPr>
          <w:trHeight w:hRule="exact" w:val="227"/>
        </w:trPr>
        <w:tc>
          <w:tcPr>
            <w:tcW w:w="1217" w:type="dxa"/>
            <w:tcBorders>
              <w:top w:val="nil"/>
              <w:left w:val="nil"/>
              <w:bottom w:val="nil"/>
              <w:right w:val="nil"/>
            </w:tcBorders>
            <w:shd w:val="clear" w:color="auto" w:fill="auto"/>
            <w:noWrap/>
            <w:vAlign w:val="bottom"/>
            <w:hideMark/>
          </w:tcPr>
          <w:p w14:paraId="2DD9C464" w14:textId="77777777" w:rsidR="008607AC" w:rsidRPr="006F4D00" w:rsidRDefault="008607AC" w:rsidP="008607AC">
            <w:pPr>
              <w:rPr>
                <w:color w:val="000000"/>
                <w:sz w:val="20"/>
                <w:szCs w:val="20"/>
              </w:rPr>
            </w:pPr>
            <w:r w:rsidRPr="006F4D00">
              <w:rPr>
                <w:color w:val="000000"/>
                <w:sz w:val="20"/>
                <w:szCs w:val="20"/>
              </w:rPr>
              <w:t>664</w:t>
            </w:r>
          </w:p>
        </w:tc>
        <w:tc>
          <w:tcPr>
            <w:tcW w:w="7453" w:type="dxa"/>
            <w:tcBorders>
              <w:top w:val="nil"/>
              <w:left w:val="nil"/>
              <w:bottom w:val="nil"/>
              <w:right w:val="nil"/>
            </w:tcBorders>
            <w:shd w:val="clear" w:color="auto" w:fill="auto"/>
            <w:noWrap/>
            <w:vAlign w:val="bottom"/>
            <w:hideMark/>
          </w:tcPr>
          <w:p w14:paraId="164FE96D" w14:textId="77777777" w:rsidR="008607AC" w:rsidRPr="006F4D00" w:rsidRDefault="008607AC" w:rsidP="008607AC">
            <w:pPr>
              <w:rPr>
                <w:color w:val="000000"/>
                <w:sz w:val="20"/>
                <w:szCs w:val="20"/>
              </w:rPr>
            </w:pPr>
            <w:r w:rsidRPr="006F4D00">
              <w:rPr>
                <w:color w:val="000000"/>
                <w:sz w:val="20"/>
                <w:szCs w:val="20"/>
              </w:rPr>
              <w:t xml:space="preserve"> Glass (10)</w:t>
            </w:r>
          </w:p>
        </w:tc>
      </w:tr>
      <w:tr w:rsidR="008607AC" w:rsidRPr="006F4D00" w14:paraId="1E14448E" w14:textId="77777777" w:rsidTr="008607AC">
        <w:trPr>
          <w:trHeight w:hRule="exact" w:val="227"/>
        </w:trPr>
        <w:tc>
          <w:tcPr>
            <w:tcW w:w="1217" w:type="dxa"/>
            <w:tcBorders>
              <w:top w:val="nil"/>
              <w:left w:val="nil"/>
              <w:bottom w:val="nil"/>
              <w:right w:val="nil"/>
            </w:tcBorders>
            <w:shd w:val="clear" w:color="auto" w:fill="auto"/>
            <w:noWrap/>
            <w:vAlign w:val="bottom"/>
            <w:hideMark/>
          </w:tcPr>
          <w:p w14:paraId="2110856B" w14:textId="77777777" w:rsidR="008607AC" w:rsidRPr="006F4D00" w:rsidRDefault="008607AC" w:rsidP="008607AC">
            <w:pPr>
              <w:rPr>
                <w:color w:val="000000"/>
                <w:sz w:val="20"/>
                <w:szCs w:val="20"/>
              </w:rPr>
            </w:pPr>
            <w:r w:rsidRPr="006F4D00">
              <w:rPr>
                <w:color w:val="000000"/>
                <w:sz w:val="20"/>
                <w:szCs w:val="20"/>
              </w:rPr>
              <w:t>665</w:t>
            </w:r>
          </w:p>
        </w:tc>
        <w:tc>
          <w:tcPr>
            <w:tcW w:w="7453" w:type="dxa"/>
            <w:tcBorders>
              <w:top w:val="nil"/>
              <w:left w:val="nil"/>
              <w:bottom w:val="nil"/>
              <w:right w:val="nil"/>
            </w:tcBorders>
            <w:shd w:val="clear" w:color="auto" w:fill="auto"/>
            <w:noWrap/>
            <w:vAlign w:val="bottom"/>
            <w:hideMark/>
          </w:tcPr>
          <w:p w14:paraId="11DB1DD6" w14:textId="77777777" w:rsidR="008607AC" w:rsidRPr="006F4D00" w:rsidRDefault="008607AC" w:rsidP="008607AC">
            <w:pPr>
              <w:rPr>
                <w:color w:val="000000"/>
                <w:sz w:val="20"/>
                <w:szCs w:val="20"/>
              </w:rPr>
            </w:pPr>
            <w:r w:rsidRPr="006F4D00">
              <w:rPr>
                <w:color w:val="000000"/>
                <w:sz w:val="20"/>
                <w:szCs w:val="20"/>
              </w:rPr>
              <w:t xml:space="preserve"> Glassware (5)</w:t>
            </w:r>
          </w:p>
        </w:tc>
      </w:tr>
      <w:tr w:rsidR="008607AC" w:rsidRPr="006F4D00" w14:paraId="3862188A" w14:textId="77777777" w:rsidTr="008607AC">
        <w:trPr>
          <w:trHeight w:hRule="exact" w:val="227"/>
        </w:trPr>
        <w:tc>
          <w:tcPr>
            <w:tcW w:w="1217" w:type="dxa"/>
            <w:tcBorders>
              <w:top w:val="nil"/>
              <w:left w:val="nil"/>
              <w:bottom w:val="nil"/>
              <w:right w:val="nil"/>
            </w:tcBorders>
            <w:shd w:val="clear" w:color="auto" w:fill="auto"/>
            <w:noWrap/>
            <w:vAlign w:val="bottom"/>
            <w:hideMark/>
          </w:tcPr>
          <w:p w14:paraId="0A96BCB4" w14:textId="77777777" w:rsidR="008607AC" w:rsidRPr="006F4D00" w:rsidRDefault="008607AC" w:rsidP="008607AC">
            <w:pPr>
              <w:rPr>
                <w:color w:val="000000"/>
                <w:sz w:val="20"/>
                <w:szCs w:val="20"/>
              </w:rPr>
            </w:pPr>
            <w:r w:rsidRPr="006F4D00">
              <w:rPr>
                <w:color w:val="000000"/>
                <w:sz w:val="20"/>
                <w:szCs w:val="20"/>
              </w:rPr>
              <w:t>666</w:t>
            </w:r>
          </w:p>
        </w:tc>
        <w:tc>
          <w:tcPr>
            <w:tcW w:w="7453" w:type="dxa"/>
            <w:tcBorders>
              <w:top w:val="nil"/>
              <w:left w:val="nil"/>
              <w:bottom w:val="nil"/>
              <w:right w:val="nil"/>
            </w:tcBorders>
            <w:shd w:val="clear" w:color="auto" w:fill="auto"/>
            <w:noWrap/>
            <w:vAlign w:val="bottom"/>
            <w:hideMark/>
          </w:tcPr>
          <w:p w14:paraId="53D1F2F2" w14:textId="77777777" w:rsidR="008607AC" w:rsidRPr="006F4D00" w:rsidRDefault="008607AC" w:rsidP="008607AC">
            <w:pPr>
              <w:rPr>
                <w:color w:val="000000"/>
                <w:sz w:val="20"/>
                <w:szCs w:val="20"/>
              </w:rPr>
            </w:pPr>
            <w:r w:rsidRPr="006F4D00">
              <w:rPr>
                <w:color w:val="000000"/>
                <w:sz w:val="20"/>
                <w:szCs w:val="20"/>
              </w:rPr>
              <w:t xml:space="preserve"> Pottery (1)</w:t>
            </w:r>
          </w:p>
        </w:tc>
      </w:tr>
      <w:tr w:rsidR="008607AC" w:rsidRPr="006F4D00" w14:paraId="58FF57CA" w14:textId="77777777" w:rsidTr="008607AC">
        <w:trPr>
          <w:trHeight w:hRule="exact" w:val="227"/>
        </w:trPr>
        <w:tc>
          <w:tcPr>
            <w:tcW w:w="1217" w:type="dxa"/>
            <w:tcBorders>
              <w:top w:val="nil"/>
              <w:left w:val="nil"/>
              <w:bottom w:val="nil"/>
              <w:right w:val="nil"/>
            </w:tcBorders>
            <w:shd w:val="clear" w:color="auto" w:fill="auto"/>
            <w:noWrap/>
            <w:vAlign w:val="bottom"/>
            <w:hideMark/>
          </w:tcPr>
          <w:p w14:paraId="26542BD1" w14:textId="77777777" w:rsidR="008607AC" w:rsidRPr="006F4D00" w:rsidRDefault="008607AC" w:rsidP="008607AC">
            <w:pPr>
              <w:rPr>
                <w:color w:val="000000"/>
                <w:sz w:val="20"/>
                <w:szCs w:val="20"/>
              </w:rPr>
            </w:pPr>
            <w:r w:rsidRPr="006F4D00">
              <w:rPr>
                <w:color w:val="000000"/>
                <w:sz w:val="20"/>
                <w:szCs w:val="20"/>
              </w:rPr>
              <w:t>667</w:t>
            </w:r>
          </w:p>
        </w:tc>
        <w:tc>
          <w:tcPr>
            <w:tcW w:w="7453" w:type="dxa"/>
            <w:tcBorders>
              <w:top w:val="nil"/>
              <w:left w:val="nil"/>
              <w:bottom w:val="nil"/>
              <w:right w:val="nil"/>
            </w:tcBorders>
            <w:shd w:val="clear" w:color="auto" w:fill="auto"/>
            <w:noWrap/>
            <w:vAlign w:val="bottom"/>
            <w:hideMark/>
          </w:tcPr>
          <w:p w14:paraId="0621C7EC" w14:textId="77777777" w:rsidR="008607AC" w:rsidRPr="006F4D00" w:rsidRDefault="008607AC" w:rsidP="008607AC">
            <w:pPr>
              <w:rPr>
                <w:color w:val="000000"/>
                <w:sz w:val="20"/>
                <w:szCs w:val="20"/>
              </w:rPr>
            </w:pPr>
            <w:r w:rsidRPr="006F4D00">
              <w:rPr>
                <w:color w:val="000000"/>
                <w:sz w:val="20"/>
                <w:szCs w:val="20"/>
              </w:rPr>
              <w:t xml:space="preserve"> Pearls, precious &amp; semi-prec.stones, unwork./worked (5)</w:t>
            </w:r>
          </w:p>
        </w:tc>
      </w:tr>
      <w:tr w:rsidR="008607AC" w:rsidRPr="006F4D00" w14:paraId="591FBCB1" w14:textId="77777777" w:rsidTr="008607AC">
        <w:trPr>
          <w:trHeight w:hRule="exact" w:val="227"/>
        </w:trPr>
        <w:tc>
          <w:tcPr>
            <w:tcW w:w="1217" w:type="dxa"/>
            <w:tcBorders>
              <w:top w:val="nil"/>
              <w:left w:val="nil"/>
              <w:bottom w:val="nil"/>
              <w:right w:val="nil"/>
            </w:tcBorders>
            <w:shd w:val="clear" w:color="auto" w:fill="auto"/>
            <w:noWrap/>
            <w:vAlign w:val="bottom"/>
            <w:hideMark/>
          </w:tcPr>
          <w:p w14:paraId="56D7BCEB" w14:textId="77777777" w:rsidR="008607AC" w:rsidRPr="006F4D00" w:rsidRDefault="008607AC" w:rsidP="008607AC">
            <w:pPr>
              <w:rPr>
                <w:color w:val="000000"/>
                <w:sz w:val="20"/>
                <w:szCs w:val="20"/>
              </w:rPr>
            </w:pPr>
            <w:r w:rsidRPr="006F4D00">
              <w:rPr>
                <w:color w:val="000000"/>
                <w:sz w:val="20"/>
                <w:szCs w:val="20"/>
              </w:rPr>
              <w:t>673</w:t>
            </w:r>
          </w:p>
        </w:tc>
        <w:tc>
          <w:tcPr>
            <w:tcW w:w="7453" w:type="dxa"/>
            <w:tcBorders>
              <w:top w:val="nil"/>
              <w:left w:val="nil"/>
              <w:bottom w:val="nil"/>
              <w:right w:val="nil"/>
            </w:tcBorders>
            <w:shd w:val="clear" w:color="auto" w:fill="auto"/>
            <w:noWrap/>
            <w:vAlign w:val="bottom"/>
            <w:hideMark/>
          </w:tcPr>
          <w:p w14:paraId="2D7769B9" w14:textId="77777777" w:rsidR="008607AC" w:rsidRPr="006F4D00" w:rsidRDefault="008607AC" w:rsidP="008607AC">
            <w:pPr>
              <w:rPr>
                <w:color w:val="000000"/>
                <w:sz w:val="20"/>
                <w:szCs w:val="20"/>
              </w:rPr>
            </w:pPr>
            <w:r w:rsidRPr="006F4D00">
              <w:rPr>
                <w:color w:val="000000"/>
                <w:sz w:val="20"/>
                <w:szCs w:val="20"/>
              </w:rPr>
              <w:t xml:space="preserve"> Iron and steel bars, rods, angles, shapes &amp; sections (5)</w:t>
            </w:r>
          </w:p>
        </w:tc>
      </w:tr>
      <w:tr w:rsidR="008607AC" w:rsidRPr="006F4D00" w14:paraId="69F4A067" w14:textId="77777777" w:rsidTr="008607AC">
        <w:trPr>
          <w:trHeight w:hRule="exact" w:val="227"/>
        </w:trPr>
        <w:tc>
          <w:tcPr>
            <w:tcW w:w="1217" w:type="dxa"/>
            <w:tcBorders>
              <w:top w:val="nil"/>
              <w:left w:val="nil"/>
              <w:bottom w:val="nil"/>
              <w:right w:val="nil"/>
            </w:tcBorders>
            <w:shd w:val="clear" w:color="auto" w:fill="auto"/>
            <w:noWrap/>
            <w:vAlign w:val="bottom"/>
            <w:hideMark/>
          </w:tcPr>
          <w:p w14:paraId="3196AE04" w14:textId="77777777" w:rsidR="008607AC" w:rsidRPr="006F4D00" w:rsidRDefault="008607AC" w:rsidP="008607AC">
            <w:pPr>
              <w:rPr>
                <w:color w:val="000000"/>
                <w:sz w:val="20"/>
                <w:szCs w:val="20"/>
              </w:rPr>
            </w:pPr>
            <w:r w:rsidRPr="006F4D00">
              <w:rPr>
                <w:color w:val="000000"/>
                <w:sz w:val="20"/>
                <w:szCs w:val="20"/>
              </w:rPr>
              <w:t>674</w:t>
            </w:r>
          </w:p>
        </w:tc>
        <w:tc>
          <w:tcPr>
            <w:tcW w:w="7453" w:type="dxa"/>
            <w:tcBorders>
              <w:top w:val="nil"/>
              <w:left w:val="nil"/>
              <w:bottom w:val="nil"/>
              <w:right w:val="nil"/>
            </w:tcBorders>
            <w:shd w:val="clear" w:color="auto" w:fill="auto"/>
            <w:noWrap/>
            <w:vAlign w:val="bottom"/>
            <w:hideMark/>
          </w:tcPr>
          <w:p w14:paraId="7C9E8F83" w14:textId="77777777" w:rsidR="008607AC" w:rsidRPr="006F4D00" w:rsidRDefault="008607AC" w:rsidP="008607AC">
            <w:pPr>
              <w:rPr>
                <w:color w:val="000000"/>
                <w:sz w:val="20"/>
                <w:szCs w:val="20"/>
              </w:rPr>
            </w:pPr>
            <w:r w:rsidRPr="006F4D00">
              <w:rPr>
                <w:color w:val="000000"/>
                <w:sz w:val="20"/>
                <w:szCs w:val="20"/>
              </w:rPr>
              <w:t xml:space="preserve"> Universals, plates and sheets, of iron or steel (8)</w:t>
            </w:r>
          </w:p>
        </w:tc>
      </w:tr>
      <w:tr w:rsidR="008607AC" w:rsidRPr="006F4D00" w14:paraId="7F451EC6" w14:textId="77777777" w:rsidTr="008607AC">
        <w:trPr>
          <w:trHeight w:hRule="exact" w:val="227"/>
        </w:trPr>
        <w:tc>
          <w:tcPr>
            <w:tcW w:w="1217" w:type="dxa"/>
            <w:tcBorders>
              <w:top w:val="nil"/>
              <w:left w:val="nil"/>
              <w:bottom w:val="nil"/>
              <w:right w:val="nil"/>
            </w:tcBorders>
            <w:shd w:val="clear" w:color="auto" w:fill="auto"/>
            <w:noWrap/>
            <w:vAlign w:val="bottom"/>
            <w:hideMark/>
          </w:tcPr>
          <w:p w14:paraId="68BA8D85" w14:textId="77777777" w:rsidR="008607AC" w:rsidRPr="006F4D00" w:rsidRDefault="008607AC" w:rsidP="008607AC">
            <w:pPr>
              <w:rPr>
                <w:color w:val="000000"/>
                <w:sz w:val="20"/>
                <w:szCs w:val="20"/>
              </w:rPr>
            </w:pPr>
            <w:r w:rsidRPr="006F4D00">
              <w:rPr>
                <w:color w:val="000000"/>
                <w:sz w:val="20"/>
                <w:szCs w:val="20"/>
              </w:rPr>
              <w:t>675</w:t>
            </w:r>
          </w:p>
        </w:tc>
        <w:tc>
          <w:tcPr>
            <w:tcW w:w="7453" w:type="dxa"/>
            <w:tcBorders>
              <w:top w:val="nil"/>
              <w:left w:val="nil"/>
              <w:bottom w:val="nil"/>
              <w:right w:val="nil"/>
            </w:tcBorders>
            <w:shd w:val="clear" w:color="auto" w:fill="auto"/>
            <w:noWrap/>
            <w:vAlign w:val="bottom"/>
            <w:hideMark/>
          </w:tcPr>
          <w:p w14:paraId="57D41C0E" w14:textId="77777777" w:rsidR="008607AC" w:rsidRPr="006F4D00" w:rsidRDefault="008607AC" w:rsidP="008607AC">
            <w:pPr>
              <w:rPr>
                <w:color w:val="000000"/>
                <w:sz w:val="20"/>
                <w:szCs w:val="20"/>
              </w:rPr>
            </w:pPr>
            <w:r w:rsidRPr="006F4D00">
              <w:rPr>
                <w:color w:val="000000"/>
                <w:sz w:val="20"/>
                <w:szCs w:val="20"/>
              </w:rPr>
              <w:t xml:space="preserve"> Hoop &amp; strip, of iron/steel, hot-rolled/cold-rolled (1)</w:t>
            </w:r>
          </w:p>
        </w:tc>
      </w:tr>
      <w:tr w:rsidR="008607AC" w:rsidRPr="006F4D00" w14:paraId="656E5DD2" w14:textId="77777777" w:rsidTr="008607AC">
        <w:trPr>
          <w:trHeight w:hRule="exact" w:val="227"/>
        </w:trPr>
        <w:tc>
          <w:tcPr>
            <w:tcW w:w="1217" w:type="dxa"/>
            <w:tcBorders>
              <w:top w:val="nil"/>
              <w:left w:val="nil"/>
              <w:bottom w:val="nil"/>
              <w:right w:val="nil"/>
            </w:tcBorders>
            <w:shd w:val="clear" w:color="auto" w:fill="auto"/>
            <w:noWrap/>
            <w:vAlign w:val="bottom"/>
            <w:hideMark/>
          </w:tcPr>
          <w:p w14:paraId="19BA7C08" w14:textId="77777777" w:rsidR="008607AC" w:rsidRPr="006F4D00" w:rsidRDefault="008607AC" w:rsidP="008607AC">
            <w:pPr>
              <w:rPr>
                <w:color w:val="000000"/>
                <w:sz w:val="20"/>
                <w:szCs w:val="20"/>
              </w:rPr>
            </w:pPr>
            <w:r w:rsidRPr="006F4D00">
              <w:rPr>
                <w:color w:val="000000"/>
                <w:sz w:val="20"/>
                <w:szCs w:val="20"/>
              </w:rPr>
              <w:t>677</w:t>
            </w:r>
          </w:p>
        </w:tc>
        <w:tc>
          <w:tcPr>
            <w:tcW w:w="7453" w:type="dxa"/>
            <w:tcBorders>
              <w:top w:val="nil"/>
              <w:left w:val="nil"/>
              <w:bottom w:val="nil"/>
              <w:right w:val="nil"/>
            </w:tcBorders>
            <w:shd w:val="clear" w:color="auto" w:fill="auto"/>
            <w:noWrap/>
            <w:vAlign w:val="bottom"/>
            <w:hideMark/>
          </w:tcPr>
          <w:p w14:paraId="2234FA2D" w14:textId="77777777" w:rsidR="008607AC" w:rsidRPr="006F4D00" w:rsidRDefault="008607AC" w:rsidP="008607AC">
            <w:pPr>
              <w:rPr>
                <w:color w:val="000000"/>
                <w:sz w:val="20"/>
                <w:szCs w:val="20"/>
              </w:rPr>
            </w:pPr>
            <w:r w:rsidRPr="006F4D00">
              <w:rPr>
                <w:color w:val="000000"/>
                <w:sz w:val="20"/>
                <w:szCs w:val="20"/>
              </w:rPr>
              <w:t xml:space="preserve"> Iron/steel wire, wheth/not coated, but not insulated (1)</w:t>
            </w:r>
          </w:p>
        </w:tc>
      </w:tr>
      <w:tr w:rsidR="008607AC" w:rsidRPr="006F4D00" w14:paraId="39AB1D15" w14:textId="77777777" w:rsidTr="008607AC">
        <w:trPr>
          <w:trHeight w:hRule="exact" w:val="227"/>
        </w:trPr>
        <w:tc>
          <w:tcPr>
            <w:tcW w:w="1217" w:type="dxa"/>
            <w:tcBorders>
              <w:top w:val="nil"/>
              <w:left w:val="nil"/>
              <w:bottom w:val="nil"/>
              <w:right w:val="nil"/>
            </w:tcBorders>
            <w:shd w:val="clear" w:color="auto" w:fill="auto"/>
            <w:noWrap/>
            <w:vAlign w:val="bottom"/>
            <w:hideMark/>
          </w:tcPr>
          <w:p w14:paraId="56123A72" w14:textId="77777777" w:rsidR="008607AC" w:rsidRPr="006F4D00" w:rsidRDefault="008607AC" w:rsidP="008607AC">
            <w:pPr>
              <w:rPr>
                <w:color w:val="000000"/>
                <w:sz w:val="20"/>
                <w:szCs w:val="20"/>
              </w:rPr>
            </w:pPr>
            <w:r w:rsidRPr="006F4D00">
              <w:rPr>
                <w:color w:val="000000"/>
                <w:sz w:val="20"/>
                <w:szCs w:val="20"/>
              </w:rPr>
              <w:t>678</w:t>
            </w:r>
          </w:p>
        </w:tc>
        <w:tc>
          <w:tcPr>
            <w:tcW w:w="7453" w:type="dxa"/>
            <w:tcBorders>
              <w:top w:val="nil"/>
              <w:left w:val="nil"/>
              <w:bottom w:val="nil"/>
              <w:right w:val="nil"/>
            </w:tcBorders>
            <w:shd w:val="clear" w:color="auto" w:fill="auto"/>
            <w:noWrap/>
            <w:vAlign w:val="bottom"/>
            <w:hideMark/>
          </w:tcPr>
          <w:p w14:paraId="14591C9B" w14:textId="77777777" w:rsidR="008607AC" w:rsidRPr="006F4D00" w:rsidRDefault="008607AC" w:rsidP="008607AC">
            <w:pPr>
              <w:rPr>
                <w:color w:val="000000"/>
                <w:sz w:val="20"/>
                <w:szCs w:val="20"/>
              </w:rPr>
            </w:pPr>
            <w:r w:rsidRPr="006F4D00">
              <w:rPr>
                <w:color w:val="000000"/>
                <w:sz w:val="20"/>
                <w:szCs w:val="20"/>
              </w:rPr>
              <w:t xml:space="preserve"> Tubes, pipes and fittings, of iron or steel (6)</w:t>
            </w:r>
          </w:p>
        </w:tc>
      </w:tr>
      <w:tr w:rsidR="008607AC" w:rsidRPr="006F4D00" w14:paraId="60728D85" w14:textId="77777777" w:rsidTr="008607AC">
        <w:trPr>
          <w:trHeight w:hRule="exact" w:val="227"/>
        </w:trPr>
        <w:tc>
          <w:tcPr>
            <w:tcW w:w="1217" w:type="dxa"/>
            <w:tcBorders>
              <w:top w:val="nil"/>
              <w:left w:val="nil"/>
              <w:bottom w:val="nil"/>
              <w:right w:val="nil"/>
            </w:tcBorders>
            <w:shd w:val="clear" w:color="auto" w:fill="auto"/>
            <w:noWrap/>
            <w:vAlign w:val="bottom"/>
            <w:hideMark/>
          </w:tcPr>
          <w:p w14:paraId="74878000" w14:textId="77777777" w:rsidR="008607AC" w:rsidRPr="006F4D00" w:rsidRDefault="008607AC" w:rsidP="008607AC">
            <w:pPr>
              <w:rPr>
                <w:color w:val="000000"/>
                <w:sz w:val="20"/>
                <w:szCs w:val="20"/>
              </w:rPr>
            </w:pPr>
            <w:r w:rsidRPr="006F4D00">
              <w:rPr>
                <w:color w:val="000000"/>
                <w:sz w:val="20"/>
                <w:szCs w:val="20"/>
              </w:rPr>
              <w:t>679</w:t>
            </w:r>
          </w:p>
        </w:tc>
        <w:tc>
          <w:tcPr>
            <w:tcW w:w="7453" w:type="dxa"/>
            <w:tcBorders>
              <w:top w:val="nil"/>
              <w:left w:val="nil"/>
              <w:bottom w:val="nil"/>
              <w:right w:val="nil"/>
            </w:tcBorders>
            <w:shd w:val="clear" w:color="auto" w:fill="auto"/>
            <w:noWrap/>
            <w:vAlign w:val="bottom"/>
            <w:hideMark/>
          </w:tcPr>
          <w:p w14:paraId="0D4663E2" w14:textId="77777777" w:rsidR="008607AC" w:rsidRPr="006F4D00" w:rsidRDefault="008607AC" w:rsidP="008607AC">
            <w:pPr>
              <w:rPr>
                <w:color w:val="000000"/>
                <w:sz w:val="20"/>
                <w:szCs w:val="20"/>
              </w:rPr>
            </w:pPr>
            <w:r w:rsidRPr="006F4D00">
              <w:rPr>
                <w:color w:val="000000"/>
                <w:sz w:val="20"/>
                <w:szCs w:val="20"/>
              </w:rPr>
              <w:t xml:space="preserve"> Iron &amp; steel castings, forgings &amp;  stampings; rough (1)</w:t>
            </w:r>
          </w:p>
        </w:tc>
      </w:tr>
      <w:tr w:rsidR="008607AC" w:rsidRPr="006F4D00" w14:paraId="0EC633E0" w14:textId="77777777" w:rsidTr="008607AC">
        <w:trPr>
          <w:trHeight w:hRule="exact" w:val="227"/>
        </w:trPr>
        <w:tc>
          <w:tcPr>
            <w:tcW w:w="1217" w:type="dxa"/>
            <w:tcBorders>
              <w:top w:val="nil"/>
              <w:left w:val="nil"/>
              <w:bottom w:val="nil"/>
              <w:right w:val="nil"/>
            </w:tcBorders>
            <w:shd w:val="clear" w:color="auto" w:fill="auto"/>
            <w:noWrap/>
            <w:vAlign w:val="bottom"/>
            <w:hideMark/>
          </w:tcPr>
          <w:p w14:paraId="25AC1EE7" w14:textId="77777777" w:rsidR="008607AC" w:rsidRPr="006F4D00" w:rsidRDefault="008607AC" w:rsidP="008607AC">
            <w:pPr>
              <w:rPr>
                <w:color w:val="000000"/>
                <w:sz w:val="20"/>
                <w:szCs w:val="20"/>
              </w:rPr>
            </w:pPr>
            <w:r w:rsidRPr="006F4D00">
              <w:rPr>
                <w:color w:val="000000"/>
                <w:sz w:val="20"/>
                <w:szCs w:val="20"/>
              </w:rPr>
              <w:t>681</w:t>
            </w:r>
          </w:p>
        </w:tc>
        <w:tc>
          <w:tcPr>
            <w:tcW w:w="7453" w:type="dxa"/>
            <w:tcBorders>
              <w:top w:val="nil"/>
              <w:left w:val="nil"/>
              <w:bottom w:val="nil"/>
              <w:right w:val="nil"/>
            </w:tcBorders>
            <w:shd w:val="clear" w:color="auto" w:fill="auto"/>
            <w:noWrap/>
            <w:vAlign w:val="bottom"/>
            <w:hideMark/>
          </w:tcPr>
          <w:p w14:paraId="572A59DC" w14:textId="77777777" w:rsidR="008607AC" w:rsidRPr="006F4D00" w:rsidRDefault="008607AC" w:rsidP="008607AC">
            <w:pPr>
              <w:rPr>
                <w:color w:val="000000"/>
                <w:sz w:val="20"/>
                <w:szCs w:val="20"/>
              </w:rPr>
            </w:pPr>
            <w:r w:rsidRPr="006F4D00">
              <w:rPr>
                <w:color w:val="000000"/>
                <w:sz w:val="20"/>
                <w:szCs w:val="20"/>
              </w:rPr>
              <w:t xml:space="preserve"> Silver, platinum &amp; oth.metals of the platinum group (3)</w:t>
            </w:r>
          </w:p>
        </w:tc>
      </w:tr>
      <w:tr w:rsidR="008607AC" w:rsidRPr="006F4D00" w14:paraId="463828E5" w14:textId="77777777" w:rsidTr="008607AC">
        <w:trPr>
          <w:trHeight w:hRule="exact" w:val="227"/>
        </w:trPr>
        <w:tc>
          <w:tcPr>
            <w:tcW w:w="1217" w:type="dxa"/>
            <w:tcBorders>
              <w:top w:val="nil"/>
              <w:left w:val="nil"/>
              <w:bottom w:val="nil"/>
              <w:right w:val="nil"/>
            </w:tcBorders>
            <w:shd w:val="clear" w:color="auto" w:fill="auto"/>
            <w:noWrap/>
            <w:vAlign w:val="bottom"/>
            <w:hideMark/>
          </w:tcPr>
          <w:p w14:paraId="64C0E1E1" w14:textId="77777777" w:rsidR="008607AC" w:rsidRPr="006F4D00" w:rsidRDefault="008607AC" w:rsidP="008607AC">
            <w:pPr>
              <w:rPr>
                <w:color w:val="000000"/>
                <w:sz w:val="20"/>
                <w:szCs w:val="20"/>
              </w:rPr>
            </w:pPr>
            <w:r w:rsidRPr="006F4D00">
              <w:rPr>
                <w:color w:val="000000"/>
                <w:sz w:val="20"/>
                <w:szCs w:val="20"/>
              </w:rPr>
              <w:lastRenderedPageBreak/>
              <w:t>682</w:t>
            </w:r>
          </w:p>
        </w:tc>
        <w:tc>
          <w:tcPr>
            <w:tcW w:w="7453" w:type="dxa"/>
            <w:tcBorders>
              <w:top w:val="nil"/>
              <w:left w:val="nil"/>
              <w:bottom w:val="nil"/>
              <w:right w:val="nil"/>
            </w:tcBorders>
            <w:shd w:val="clear" w:color="auto" w:fill="auto"/>
            <w:noWrap/>
            <w:vAlign w:val="bottom"/>
            <w:hideMark/>
          </w:tcPr>
          <w:p w14:paraId="56A655D8" w14:textId="77777777" w:rsidR="008607AC" w:rsidRPr="006F4D00" w:rsidRDefault="008607AC" w:rsidP="008607AC">
            <w:pPr>
              <w:rPr>
                <w:color w:val="000000"/>
                <w:sz w:val="20"/>
                <w:szCs w:val="20"/>
              </w:rPr>
            </w:pPr>
            <w:r w:rsidRPr="006F4D00">
              <w:rPr>
                <w:color w:val="000000"/>
                <w:sz w:val="20"/>
                <w:szCs w:val="20"/>
              </w:rPr>
              <w:t xml:space="preserve"> Copper (3)</w:t>
            </w:r>
          </w:p>
        </w:tc>
      </w:tr>
      <w:tr w:rsidR="008607AC" w:rsidRPr="006F4D00" w14:paraId="47299C65" w14:textId="77777777" w:rsidTr="008607AC">
        <w:trPr>
          <w:trHeight w:hRule="exact" w:val="227"/>
        </w:trPr>
        <w:tc>
          <w:tcPr>
            <w:tcW w:w="1217" w:type="dxa"/>
            <w:tcBorders>
              <w:top w:val="nil"/>
              <w:left w:val="nil"/>
              <w:bottom w:val="nil"/>
              <w:right w:val="nil"/>
            </w:tcBorders>
            <w:shd w:val="clear" w:color="auto" w:fill="auto"/>
            <w:noWrap/>
            <w:vAlign w:val="bottom"/>
            <w:hideMark/>
          </w:tcPr>
          <w:p w14:paraId="7385A278" w14:textId="77777777" w:rsidR="008607AC" w:rsidRPr="006F4D00" w:rsidRDefault="008607AC" w:rsidP="008607AC">
            <w:pPr>
              <w:rPr>
                <w:color w:val="000000"/>
                <w:sz w:val="20"/>
                <w:szCs w:val="20"/>
              </w:rPr>
            </w:pPr>
            <w:r w:rsidRPr="006F4D00">
              <w:rPr>
                <w:color w:val="000000"/>
                <w:sz w:val="20"/>
                <w:szCs w:val="20"/>
              </w:rPr>
              <w:t>683</w:t>
            </w:r>
          </w:p>
        </w:tc>
        <w:tc>
          <w:tcPr>
            <w:tcW w:w="7453" w:type="dxa"/>
            <w:tcBorders>
              <w:top w:val="nil"/>
              <w:left w:val="nil"/>
              <w:bottom w:val="nil"/>
              <w:right w:val="nil"/>
            </w:tcBorders>
            <w:shd w:val="clear" w:color="auto" w:fill="auto"/>
            <w:noWrap/>
            <w:vAlign w:val="bottom"/>
            <w:hideMark/>
          </w:tcPr>
          <w:p w14:paraId="68B6C828" w14:textId="77777777" w:rsidR="008607AC" w:rsidRPr="006F4D00" w:rsidRDefault="008607AC" w:rsidP="008607AC">
            <w:pPr>
              <w:rPr>
                <w:color w:val="000000"/>
                <w:sz w:val="20"/>
                <w:szCs w:val="20"/>
              </w:rPr>
            </w:pPr>
            <w:r w:rsidRPr="006F4D00">
              <w:rPr>
                <w:color w:val="000000"/>
                <w:sz w:val="20"/>
                <w:szCs w:val="20"/>
              </w:rPr>
              <w:t xml:space="preserve"> Nickel (3)</w:t>
            </w:r>
          </w:p>
        </w:tc>
      </w:tr>
      <w:tr w:rsidR="008607AC" w:rsidRPr="006F4D00" w14:paraId="3A11214A" w14:textId="77777777" w:rsidTr="008607AC">
        <w:trPr>
          <w:trHeight w:hRule="exact" w:val="227"/>
        </w:trPr>
        <w:tc>
          <w:tcPr>
            <w:tcW w:w="1217" w:type="dxa"/>
            <w:tcBorders>
              <w:top w:val="nil"/>
              <w:left w:val="nil"/>
              <w:bottom w:val="nil"/>
              <w:right w:val="nil"/>
            </w:tcBorders>
            <w:shd w:val="clear" w:color="auto" w:fill="auto"/>
            <w:noWrap/>
            <w:vAlign w:val="bottom"/>
            <w:hideMark/>
          </w:tcPr>
          <w:p w14:paraId="22619DD1" w14:textId="77777777" w:rsidR="008607AC" w:rsidRPr="006F4D00" w:rsidRDefault="008607AC" w:rsidP="008607AC">
            <w:pPr>
              <w:rPr>
                <w:color w:val="000000"/>
                <w:sz w:val="20"/>
                <w:szCs w:val="20"/>
              </w:rPr>
            </w:pPr>
            <w:r w:rsidRPr="006F4D00">
              <w:rPr>
                <w:color w:val="000000"/>
                <w:sz w:val="20"/>
                <w:szCs w:val="20"/>
              </w:rPr>
              <w:t>684</w:t>
            </w:r>
          </w:p>
        </w:tc>
        <w:tc>
          <w:tcPr>
            <w:tcW w:w="7453" w:type="dxa"/>
            <w:tcBorders>
              <w:top w:val="nil"/>
              <w:left w:val="nil"/>
              <w:bottom w:val="nil"/>
              <w:right w:val="nil"/>
            </w:tcBorders>
            <w:shd w:val="clear" w:color="auto" w:fill="auto"/>
            <w:noWrap/>
            <w:vAlign w:val="bottom"/>
            <w:hideMark/>
          </w:tcPr>
          <w:p w14:paraId="15F02D93" w14:textId="77777777" w:rsidR="008607AC" w:rsidRPr="006F4D00" w:rsidRDefault="008607AC" w:rsidP="008607AC">
            <w:pPr>
              <w:rPr>
                <w:color w:val="000000"/>
                <w:sz w:val="20"/>
                <w:szCs w:val="20"/>
              </w:rPr>
            </w:pPr>
            <w:r w:rsidRPr="006F4D00">
              <w:rPr>
                <w:color w:val="000000"/>
                <w:sz w:val="20"/>
                <w:szCs w:val="20"/>
              </w:rPr>
              <w:t xml:space="preserve"> Aluminium (3)</w:t>
            </w:r>
          </w:p>
        </w:tc>
      </w:tr>
      <w:tr w:rsidR="008607AC" w:rsidRPr="006F4D00" w14:paraId="0CD97B4B" w14:textId="77777777" w:rsidTr="008607AC">
        <w:trPr>
          <w:trHeight w:hRule="exact" w:val="227"/>
        </w:trPr>
        <w:tc>
          <w:tcPr>
            <w:tcW w:w="1217" w:type="dxa"/>
            <w:tcBorders>
              <w:top w:val="nil"/>
              <w:left w:val="nil"/>
              <w:bottom w:val="nil"/>
              <w:right w:val="nil"/>
            </w:tcBorders>
            <w:shd w:val="clear" w:color="auto" w:fill="auto"/>
            <w:noWrap/>
            <w:vAlign w:val="bottom"/>
            <w:hideMark/>
          </w:tcPr>
          <w:p w14:paraId="3E36F943" w14:textId="77777777" w:rsidR="008607AC" w:rsidRPr="006F4D00" w:rsidRDefault="008607AC" w:rsidP="008607AC">
            <w:pPr>
              <w:rPr>
                <w:color w:val="000000"/>
                <w:sz w:val="20"/>
                <w:szCs w:val="20"/>
              </w:rPr>
            </w:pPr>
            <w:r w:rsidRPr="006F4D00">
              <w:rPr>
                <w:color w:val="000000"/>
                <w:sz w:val="20"/>
                <w:szCs w:val="20"/>
              </w:rPr>
              <w:t>685</w:t>
            </w:r>
          </w:p>
        </w:tc>
        <w:tc>
          <w:tcPr>
            <w:tcW w:w="7453" w:type="dxa"/>
            <w:tcBorders>
              <w:top w:val="nil"/>
              <w:left w:val="nil"/>
              <w:bottom w:val="nil"/>
              <w:right w:val="nil"/>
            </w:tcBorders>
            <w:shd w:val="clear" w:color="auto" w:fill="auto"/>
            <w:noWrap/>
            <w:vAlign w:val="bottom"/>
            <w:hideMark/>
          </w:tcPr>
          <w:p w14:paraId="5E054FF6" w14:textId="77777777" w:rsidR="008607AC" w:rsidRPr="006F4D00" w:rsidRDefault="008607AC" w:rsidP="008607AC">
            <w:pPr>
              <w:rPr>
                <w:color w:val="000000"/>
                <w:sz w:val="20"/>
                <w:szCs w:val="20"/>
              </w:rPr>
            </w:pPr>
            <w:r w:rsidRPr="006F4D00">
              <w:rPr>
                <w:color w:val="000000"/>
                <w:sz w:val="20"/>
                <w:szCs w:val="20"/>
              </w:rPr>
              <w:t xml:space="preserve"> Lead (3)</w:t>
            </w:r>
          </w:p>
        </w:tc>
      </w:tr>
      <w:tr w:rsidR="008607AC" w:rsidRPr="006F4D00" w14:paraId="670C24DD" w14:textId="77777777" w:rsidTr="008607AC">
        <w:trPr>
          <w:trHeight w:hRule="exact" w:val="227"/>
        </w:trPr>
        <w:tc>
          <w:tcPr>
            <w:tcW w:w="1217" w:type="dxa"/>
            <w:tcBorders>
              <w:top w:val="nil"/>
              <w:left w:val="nil"/>
              <w:bottom w:val="nil"/>
              <w:right w:val="nil"/>
            </w:tcBorders>
            <w:shd w:val="clear" w:color="auto" w:fill="auto"/>
            <w:noWrap/>
            <w:vAlign w:val="bottom"/>
            <w:hideMark/>
          </w:tcPr>
          <w:p w14:paraId="0E5BA771" w14:textId="77777777" w:rsidR="008607AC" w:rsidRPr="006F4D00" w:rsidRDefault="008607AC" w:rsidP="008607AC">
            <w:pPr>
              <w:rPr>
                <w:color w:val="000000"/>
                <w:sz w:val="20"/>
                <w:szCs w:val="20"/>
              </w:rPr>
            </w:pPr>
            <w:r w:rsidRPr="006F4D00">
              <w:rPr>
                <w:color w:val="000000"/>
                <w:sz w:val="20"/>
                <w:szCs w:val="20"/>
              </w:rPr>
              <w:t>686</w:t>
            </w:r>
          </w:p>
        </w:tc>
        <w:tc>
          <w:tcPr>
            <w:tcW w:w="7453" w:type="dxa"/>
            <w:tcBorders>
              <w:top w:val="nil"/>
              <w:left w:val="nil"/>
              <w:bottom w:val="nil"/>
              <w:right w:val="nil"/>
            </w:tcBorders>
            <w:shd w:val="clear" w:color="auto" w:fill="auto"/>
            <w:noWrap/>
            <w:vAlign w:val="bottom"/>
            <w:hideMark/>
          </w:tcPr>
          <w:p w14:paraId="6D33608E" w14:textId="77777777" w:rsidR="008607AC" w:rsidRPr="006F4D00" w:rsidRDefault="008607AC" w:rsidP="008607AC">
            <w:pPr>
              <w:rPr>
                <w:color w:val="000000"/>
                <w:sz w:val="20"/>
                <w:szCs w:val="20"/>
              </w:rPr>
            </w:pPr>
            <w:r w:rsidRPr="006F4D00">
              <w:rPr>
                <w:color w:val="000000"/>
                <w:sz w:val="20"/>
                <w:szCs w:val="20"/>
              </w:rPr>
              <w:t xml:space="preserve"> Zinc (3)</w:t>
            </w:r>
          </w:p>
        </w:tc>
      </w:tr>
      <w:tr w:rsidR="008607AC" w:rsidRPr="006F4D00" w14:paraId="1B5D9AA4" w14:textId="77777777" w:rsidTr="008607AC">
        <w:trPr>
          <w:trHeight w:hRule="exact" w:val="227"/>
        </w:trPr>
        <w:tc>
          <w:tcPr>
            <w:tcW w:w="1217" w:type="dxa"/>
            <w:tcBorders>
              <w:top w:val="nil"/>
              <w:left w:val="nil"/>
              <w:bottom w:val="nil"/>
              <w:right w:val="nil"/>
            </w:tcBorders>
            <w:shd w:val="clear" w:color="auto" w:fill="auto"/>
            <w:noWrap/>
            <w:vAlign w:val="bottom"/>
            <w:hideMark/>
          </w:tcPr>
          <w:p w14:paraId="57EF2719" w14:textId="77777777" w:rsidR="008607AC" w:rsidRPr="006F4D00" w:rsidRDefault="008607AC" w:rsidP="008607AC">
            <w:pPr>
              <w:rPr>
                <w:color w:val="000000"/>
                <w:sz w:val="20"/>
                <w:szCs w:val="20"/>
              </w:rPr>
            </w:pPr>
            <w:r w:rsidRPr="006F4D00">
              <w:rPr>
                <w:color w:val="000000"/>
                <w:sz w:val="20"/>
                <w:szCs w:val="20"/>
              </w:rPr>
              <w:t>687</w:t>
            </w:r>
          </w:p>
        </w:tc>
        <w:tc>
          <w:tcPr>
            <w:tcW w:w="7453" w:type="dxa"/>
            <w:tcBorders>
              <w:top w:val="nil"/>
              <w:left w:val="nil"/>
              <w:bottom w:val="nil"/>
              <w:right w:val="nil"/>
            </w:tcBorders>
            <w:shd w:val="clear" w:color="auto" w:fill="auto"/>
            <w:noWrap/>
            <w:vAlign w:val="bottom"/>
            <w:hideMark/>
          </w:tcPr>
          <w:p w14:paraId="0CBBCABE" w14:textId="77777777" w:rsidR="008607AC" w:rsidRPr="006F4D00" w:rsidRDefault="008607AC" w:rsidP="008607AC">
            <w:pPr>
              <w:rPr>
                <w:color w:val="000000"/>
                <w:sz w:val="20"/>
                <w:szCs w:val="20"/>
              </w:rPr>
            </w:pPr>
            <w:r w:rsidRPr="006F4D00">
              <w:rPr>
                <w:color w:val="000000"/>
                <w:sz w:val="20"/>
                <w:szCs w:val="20"/>
              </w:rPr>
              <w:t xml:space="preserve"> Tin (3)</w:t>
            </w:r>
          </w:p>
        </w:tc>
      </w:tr>
      <w:tr w:rsidR="008607AC" w:rsidRPr="006F4D00" w14:paraId="001FC507" w14:textId="77777777" w:rsidTr="008607AC">
        <w:trPr>
          <w:trHeight w:hRule="exact" w:val="227"/>
        </w:trPr>
        <w:tc>
          <w:tcPr>
            <w:tcW w:w="1217" w:type="dxa"/>
            <w:tcBorders>
              <w:top w:val="nil"/>
              <w:left w:val="nil"/>
              <w:bottom w:val="nil"/>
              <w:right w:val="nil"/>
            </w:tcBorders>
            <w:shd w:val="clear" w:color="auto" w:fill="auto"/>
            <w:noWrap/>
            <w:vAlign w:val="bottom"/>
            <w:hideMark/>
          </w:tcPr>
          <w:p w14:paraId="71024138" w14:textId="77777777" w:rsidR="008607AC" w:rsidRPr="006F4D00" w:rsidRDefault="008607AC" w:rsidP="008607AC">
            <w:pPr>
              <w:rPr>
                <w:color w:val="000000"/>
                <w:sz w:val="20"/>
                <w:szCs w:val="20"/>
              </w:rPr>
            </w:pPr>
            <w:r w:rsidRPr="006F4D00">
              <w:rPr>
                <w:color w:val="000000"/>
                <w:sz w:val="20"/>
                <w:szCs w:val="20"/>
              </w:rPr>
              <w:t>689</w:t>
            </w:r>
          </w:p>
        </w:tc>
        <w:tc>
          <w:tcPr>
            <w:tcW w:w="7453" w:type="dxa"/>
            <w:tcBorders>
              <w:top w:val="nil"/>
              <w:left w:val="nil"/>
              <w:bottom w:val="nil"/>
              <w:right w:val="nil"/>
            </w:tcBorders>
            <w:shd w:val="clear" w:color="auto" w:fill="auto"/>
            <w:noWrap/>
            <w:vAlign w:val="bottom"/>
            <w:hideMark/>
          </w:tcPr>
          <w:p w14:paraId="7E8CF1A8" w14:textId="77777777" w:rsidR="008607AC" w:rsidRPr="006F4D00" w:rsidRDefault="008607AC" w:rsidP="008607AC">
            <w:pPr>
              <w:rPr>
                <w:color w:val="000000"/>
                <w:sz w:val="20"/>
                <w:szCs w:val="20"/>
              </w:rPr>
            </w:pPr>
            <w:r w:rsidRPr="006F4D00">
              <w:rPr>
                <w:color w:val="000000"/>
                <w:sz w:val="20"/>
                <w:szCs w:val="20"/>
              </w:rPr>
              <w:t xml:space="preserve"> Miscell.non-ferrous base metals employ.in metallgy (3)</w:t>
            </w:r>
          </w:p>
        </w:tc>
      </w:tr>
      <w:tr w:rsidR="008607AC" w:rsidRPr="006F4D00" w14:paraId="38F2543F" w14:textId="77777777" w:rsidTr="008607AC">
        <w:trPr>
          <w:trHeight w:hRule="exact" w:val="227"/>
        </w:trPr>
        <w:tc>
          <w:tcPr>
            <w:tcW w:w="1217" w:type="dxa"/>
            <w:tcBorders>
              <w:top w:val="nil"/>
              <w:left w:val="nil"/>
              <w:bottom w:val="nil"/>
              <w:right w:val="nil"/>
            </w:tcBorders>
            <w:shd w:val="clear" w:color="auto" w:fill="auto"/>
            <w:noWrap/>
            <w:vAlign w:val="bottom"/>
            <w:hideMark/>
          </w:tcPr>
          <w:p w14:paraId="5DD64EEB" w14:textId="77777777" w:rsidR="008607AC" w:rsidRPr="006F4D00" w:rsidRDefault="008607AC" w:rsidP="008607AC">
            <w:pPr>
              <w:rPr>
                <w:color w:val="000000"/>
                <w:sz w:val="20"/>
                <w:szCs w:val="20"/>
              </w:rPr>
            </w:pPr>
            <w:r w:rsidRPr="006F4D00">
              <w:rPr>
                <w:color w:val="000000"/>
                <w:sz w:val="20"/>
                <w:szCs w:val="20"/>
              </w:rPr>
              <w:t>692</w:t>
            </w:r>
          </w:p>
        </w:tc>
        <w:tc>
          <w:tcPr>
            <w:tcW w:w="7453" w:type="dxa"/>
            <w:tcBorders>
              <w:top w:val="nil"/>
              <w:left w:val="nil"/>
              <w:bottom w:val="nil"/>
              <w:right w:val="nil"/>
            </w:tcBorders>
            <w:shd w:val="clear" w:color="auto" w:fill="auto"/>
            <w:noWrap/>
            <w:vAlign w:val="bottom"/>
            <w:hideMark/>
          </w:tcPr>
          <w:p w14:paraId="019E821D" w14:textId="77777777" w:rsidR="008607AC" w:rsidRPr="006F4D00" w:rsidRDefault="008607AC" w:rsidP="008607AC">
            <w:pPr>
              <w:rPr>
                <w:color w:val="000000"/>
                <w:sz w:val="20"/>
                <w:szCs w:val="20"/>
              </w:rPr>
            </w:pPr>
            <w:r w:rsidRPr="006F4D00">
              <w:rPr>
                <w:color w:val="000000"/>
                <w:sz w:val="20"/>
                <w:szCs w:val="20"/>
              </w:rPr>
              <w:t xml:space="preserve"> Metal containers for storage and transport (3)</w:t>
            </w:r>
          </w:p>
        </w:tc>
      </w:tr>
      <w:tr w:rsidR="008607AC" w:rsidRPr="006F4D00" w14:paraId="066F4467" w14:textId="77777777" w:rsidTr="008607AC">
        <w:trPr>
          <w:trHeight w:hRule="exact" w:val="227"/>
        </w:trPr>
        <w:tc>
          <w:tcPr>
            <w:tcW w:w="1217" w:type="dxa"/>
            <w:tcBorders>
              <w:top w:val="nil"/>
              <w:left w:val="nil"/>
              <w:bottom w:val="nil"/>
              <w:right w:val="nil"/>
            </w:tcBorders>
            <w:shd w:val="clear" w:color="auto" w:fill="auto"/>
            <w:noWrap/>
            <w:vAlign w:val="bottom"/>
            <w:hideMark/>
          </w:tcPr>
          <w:p w14:paraId="4396DA31" w14:textId="77777777" w:rsidR="008607AC" w:rsidRPr="006F4D00" w:rsidRDefault="008607AC" w:rsidP="008607AC">
            <w:pPr>
              <w:rPr>
                <w:color w:val="000000"/>
                <w:sz w:val="20"/>
                <w:szCs w:val="20"/>
              </w:rPr>
            </w:pPr>
            <w:r w:rsidRPr="006F4D00">
              <w:rPr>
                <w:color w:val="000000"/>
                <w:sz w:val="20"/>
                <w:szCs w:val="20"/>
              </w:rPr>
              <w:t>693</w:t>
            </w:r>
          </w:p>
        </w:tc>
        <w:tc>
          <w:tcPr>
            <w:tcW w:w="7453" w:type="dxa"/>
            <w:tcBorders>
              <w:top w:val="nil"/>
              <w:left w:val="nil"/>
              <w:bottom w:val="nil"/>
              <w:right w:val="nil"/>
            </w:tcBorders>
            <w:shd w:val="clear" w:color="auto" w:fill="auto"/>
            <w:noWrap/>
            <w:vAlign w:val="bottom"/>
            <w:hideMark/>
          </w:tcPr>
          <w:p w14:paraId="0D3D5EEC" w14:textId="77777777" w:rsidR="008607AC" w:rsidRPr="006F4D00" w:rsidRDefault="008607AC" w:rsidP="008607AC">
            <w:pPr>
              <w:rPr>
                <w:color w:val="000000"/>
                <w:sz w:val="20"/>
                <w:szCs w:val="20"/>
              </w:rPr>
            </w:pPr>
            <w:r w:rsidRPr="006F4D00">
              <w:rPr>
                <w:color w:val="000000"/>
                <w:sz w:val="20"/>
                <w:szCs w:val="20"/>
              </w:rPr>
              <w:t xml:space="preserve"> Wire products and fencing grills (4)</w:t>
            </w:r>
          </w:p>
        </w:tc>
      </w:tr>
      <w:tr w:rsidR="008607AC" w:rsidRPr="006F4D00" w14:paraId="2774A36B" w14:textId="77777777" w:rsidTr="008607AC">
        <w:trPr>
          <w:trHeight w:hRule="exact" w:val="227"/>
        </w:trPr>
        <w:tc>
          <w:tcPr>
            <w:tcW w:w="1217" w:type="dxa"/>
            <w:tcBorders>
              <w:top w:val="nil"/>
              <w:left w:val="nil"/>
              <w:bottom w:val="nil"/>
              <w:right w:val="nil"/>
            </w:tcBorders>
            <w:shd w:val="clear" w:color="auto" w:fill="auto"/>
            <w:noWrap/>
            <w:vAlign w:val="bottom"/>
            <w:hideMark/>
          </w:tcPr>
          <w:p w14:paraId="759FCD86" w14:textId="77777777" w:rsidR="008607AC" w:rsidRPr="006F4D00" w:rsidRDefault="008607AC" w:rsidP="008607AC">
            <w:pPr>
              <w:rPr>
                <w:color w:val="000000"/>
                <w:sz w:val="20"/>
                <w:szCs w:val="20"/>
              </w:rPr>
            </w:pPr>
            <w:r w:rsidRPr="006F4D00">
              <w:rPr>
                <w:color w:val="000000"/>
                <w:sz w:val="20"/>
                <w:szCs w:val="20"/>
              </w:rPr>
              <w:t>694</w:t>
            </w:r>
          </w:p>
        </w:tc>
        <w:tc>
          <w:tcPr>
            <w:tcW w:w="7453" w:type="dxa"/>
            <w:tcBorders>
              <w:top w:val="nil"/>
              <w:left w:val="nil"/>
              <w:bottom w:val="nil"/>
              <w:right w:val="nil"/>
            </w:tcBorders>
            <w:shd w:val="clear" w:color="auto" w:fill="auto"/>
            <w:noWrap/>
            <w:vAlign w:val="bottom"/>
            <w:hideMark/>
          </w:tcPr>
          <w:p w14:paraId="0E9C9108" w14:textId="77777777" w:rsidR="008607AC" w:rsidRPr="006F4D00" w:rsidRDefault="008607AC" w:rsidP="008607AC">
            <w:pPr>
              <w:rPr>
                <w:color w:val="000000"/>
                <w:sz w:val="20"/>
                <w:szCs w:val="20"/>
              </w:rPr>
            </w:pPr>
            <w:r w:rsidRPr="006F4D00">
              <w:rPr>
                <w:color w:val="000000"/>
                <w:sz w:val="20"/>
                <w:szCs w:val="20"/>
              </w:rPr>
              <w:t xml:space="preserve"> Nails, screws, nuts, bolts etc.of iron, steel, copper (1) </w:t>
            </w:r>
          </w:p>
        </w:tc>
      </w:tr>
      <w:tr w:rsidR="008607AC" w:rsidRPr="006F4D00" w14:paraId="0229B7E9" w14:textId="77777777" w:rsidTr="008607AC">
        <w:trPr>
          <w:trHeight w:hRule="exact" w:val="227"/>
        </w:trPr>
        <w:tc>
          <w:tcPr>
            <w:tcW w:w="1217" w:type="dxa"/>
            <w:tcBorders>
              <w:top w:val="nil"/>
              <w:left w:val="nil"/>
              <w:bottom w:val="nil"/>
              <w:right w:val="nil"/>
            </w:tcBorders>
            <w:shd w:val="clear" w:color="auto" w:fill="auto"/>
            <w:noWrap/>
            <w:vAlign w:val="bottom"/>
            <w:hideMark/>
          </w:tcPr>
          <w:p w14:paraId="40AE0C99" w14:textId="77777777" w:rsidR="008607AC" w:rsidRPr="006F4D00" w:rsidRDefault="008607AC" w:rsidP="008607AC">
            <w:pPr>
              <w:rPr>
                <w:color w:val="000000"/>
                <w:sz w:val="20"/>
                <w:szCs w:val="20"/>
              </w:rPr>
            </w:pPr>
            <w:r w:rsidRPr="006F4D00">
              <w:rPr>
                <w:color w:val="000000"/>
                <w:sz w:val="20"/>
                <w:szCs w:val="20"/>
              </w:rPr>
              <w:t>695</w:t>
            </w:r>
          </w:p>
        </w:tc>
        <w:tc>
          <w:tcPr>
            <w:tcW w:w="7453" w:type="dxa"/>
            <w:tcBorders>
              <w:top w:val="nil"/>
              <w:left w:val="nil"/>
              <w:bottom w:val="nil"/>
              <w:right w:val="nil"/>
            </w:tcBorders>
            <w:shd w:val="clear" w:color="auto" w:fill="auto"/>
            <w:noWrap/>
            <w:vAlign w:val="bottom"/>
            <w:hideMark/>
          </w:tcPr>
          <w:p w14:paraId="7026236B" w14:textId="77777777" w:rsidR="008607AC" w:rsidRPr="006F4D00" w:rsidRDefault="008607AC" w:rsidP="008607AC">
            <w:pPr>
              <w:rPr>
                <w:color w:val="000000"/>
                <w:sz w:val="20"/>
                <w:szCs w:val="20"/>
              </w:rPr>
            </w:pPr>
            <w:r w:rsidRPr="006F4D00">
              <w:rPr>
                <w:color w:val="000000"/>
                <w:sz w:val="20"/>
                <w:szCs w:val="20"/>
              </w:rPr>
              <w:t xml:space="preserve"> Tools for use in hand or in machines (5)</w:t>
            </w:r>
          </w:p>
        </w:tc>
      </w:tr>
      <w:tr w:rsidR="008607AC" w:rsidRPr="006F4D00" w14:paraId="27C498A8" w14:textId="77777777" w:rsidTr="008607AC">
        <w:trPr>
          <w:trHeight w:hRule="exact" w:val="227"/>
        </w:trPr>
        <w:tc>
          <w:tcPr>
            <w:tcW w:w="1217" w:type="dxa"/>
            <w:tcBorders>
              <w:top w:val="nil"/>
              <w:left w:val="nil"/>
              <w:bottom w:val="nil"/>
              <w:right w:val="nil"/>
            </w:tcBorders>
            <w:shd w:val="clear" w:color="auto" w:fill="auto"/>
            <w:noWrap/>
            <w:vAlign w:val="bottom"/>
            <w:hideMark/>
          </w:tcPr>
          <w:p w14:paraId="158118D3" w14:textId="77777777" w:rsidR="008607AC" w:rsidRPr="006F4D00" w:rsidRDefault="008607AC" w:rsidP="008607AC">
            <w:pPr>
              <w:rPr>
                <w:color w:val="000000"/>
                <w:sz w:val="20"/>
                <w:szCs w:val="20"/>
              </w:rPr>
            </w:pPr>
            <w:r w:rsidRPr="006F4D00">
              <w:rPr>
                <w:color w:val="000000"/>
                <w:sz w:val="20"/>
                <w:szCs w:val="20"/>
              </w:rPr>
              <w:t>696</w:t>
            </w:r>
          </w:p>
        </w:tc>
        <w:tc>
          <w:tcPr>
            <w:tcW w:w="7453" w:type="dxa"/>
            <w:tcBorders>
              <w:top w:val="nil"/>
              <w:left w:val="nil"/>
              <w:bottom w:val="nil"/>
              <w:right w:val="nil"/>
            </w:tcBorders>
            <w:shd w:val="clear" w:color="auto" w:fill="auto"/>
            <w:noWrap/>
            <w:vAlign w:val="bottom"/>
            <w:hideMark/>
          </w:tcPr>
          <w:p w14:paraId="14A20C75" w14:textId="77777777" w:rsidR="008607AC" w:rsidRPr="006F4D00" w:rsidRDefault="008607AC" w:rsidP="008607AC">
            <w:pPr>
              <w:rPr>
                <w:color w:val="000000"/>
                <w:sz w:val="20"/>
                <w:szCs w:val="20"/>
              </w:rPr>
            </w:pPr>
            <w:r w:rsidRPr="006F4D00">
              <w:rPr>
                <w:color w:val="000000"/>
                <w:sz w:val="20"/>
                <w:szCs w:val="20"/>
              </w:rPr>
              <w:t xml:space="preserve"> Cutlery (2)</w:t>
            </w:r>
          </w:p>
        </w:tc>
      </w:tr>
      <w:tr w:rsidR="008607AC" w:rsidRPr="006F4D00" w14:paraId="59501D53" w14:textId="77777777" w:rsidTr="008607AC">
        <w:trPr>
          <w:trHeight w:hRule="exact" w:val="227"/>
        </w:trPr>
        <w:tc>
          <w:tcPr>
            <w:tcW w:w="1217" w:type="dxa"/>
            <w:tcBorders>
              <w:top w:val="nil"/>
              <w:left w:val="nil"/>
              <w:bottom w:val="nil"/>
              <w:right w:val="nil"/>
            </w:tcBorders>
            <w:shd w:val="clear" w:color="auto" w:fill="auto"/>
            <w:noWrap/>
            <w:vAlign w:val="bottom"/>
            <w:hideMark/>
          </w:tcPr>
          <w:p w14:paraId="3C2128B1" w14:textId="77777777" w:rsidR="008607AC" w:rsidRPr="006F4D00" w:rsidRDefault="008607AC" w:rsidP="008607AC">
            <w:pPr>
              <w:rPr>
                <w:color w:val="000000"/>
                <w:sz w:val="20"/>
                <w:szCs w:val="20"/>
              </w:rPr>
            </w:pPr>
            <w:r w:rsidRPr="006F4D00">
              <w:rPr>
                <w:color w:val="000000"/>
                <w:sz w:val="20"/>
                <w:szCs w:val="20"/>
              </w:rPr>
              <w:t>697</w:t>
            </w:r>
          </w:p>
        </w:tc>
        <w:tc>
          <w:tcPr>
            <w:tcW w:w="7453" w:type="dxa"/>
            <w:tcBorders>
              <w:top w:val="nil"/>
              <w:left w:val="nil"/>
              <w:bottom w:val="nil"/>
              <w:right w:val="nil"/>
            </w:tcBorders>
            <w:shd w:val="clear" w:color="auto" w:fill="auto"/>
            <w:noWrap/>
            <w:vAlign w:val="bottom"/>
            <w:hideMark/>
          </w:tcPr>
          <w:p w14:paraId="5F22E8F6" w14:textId="77777777" w:rsidR="008607AC" w:rsidRPr="006F4D00" w:rsidRDefault="008607AC" w:rsidP="008607AC">
            <w:pPr>
              <w:rPr>
                <w:color w:val="000000"/>
                <w:sz w:val="20"/>
                <w:szCs w:val="20"/>
              </w:rPr>
            </w:pPr>
            <w:r w:rsidRPr="006F4D00">
              <w:rPr>
                <w:color w:val="000000"/>
                <w:sz w:val="20"/>
                <w:szCs w:val="20"/>
              </w:rPr>
              <w:t xml:space="preserve"> Household equipment of base metal, n.e.s. (5)</w:t>
            </w:r>
          </w:p>
        </w:tc>
      </w:tr>
      <w:tr w:rsidR="008607AC" w:rsidRPr="006F4D00" w14:paraId="16A3913A" w14:textId="77777777" w:rsidTr="008607AC">
        <w:trPr>
          <w:trHeight w:hRule="exact" w:val="227"/>
        </w:trPr>
        <w:tc>
          <w:tcPr>
            <w:tcW w:w="1217" w:type="dxa"/>
            <w:tcBorders>
              <w:top w:val="nil"/>
              <w:left w:val="nil"/>
              <w:bottom w:val="nil"/>
              <w:right w:val="nil"/>
            </w:tcBorders>
            <w:shd w:val="clear" w:color="auto" w:fill="auto"/>
            <w:noWrap/>
            <w:vAlign w:val="bottom"/>
            <w:hideMark/>
          </w:tcPr>
          <w:p w14:paraId="7181F1EF" w14:textId="77777777" w:rsidR="008607AC" w:rsidRPr="006F4D00" w:rsidRDefault="008607AC" w:rsidP="008607AC">
            <w:pPr>
              <w:rPr>
                <w:color w:val="000000"/>
                <w:sz w:val="20"/>
                <w:szCs w:val="20"/>
              </w:rPr>
            </w:pPr>
            <w:r w:rsidRPr="006F4D00">
              <w:rPr>
                <w:color w:val="000000"/>
                <w:sz w:val="20"/>
                <w:szCs w:val="20"/>
              </w:rPr>
              <w:t>699</w:t>
            </w:r>
          </w:p>
        </w:tc>
        <w:tc>
          <w:tcPr>
            <w:tcW w:w="7453" w:type="dxa"/>
            <w:tcBorders>
              <w:top w:val="nil"/>
              <w:left w:val="nil"/>
              <w:bottom w:val="nil"/>
              <w:right w:val="nil"/>
            </w:tcBorders>
            <w:shd w:val="clear" w:color="auto" w:fill="auto"/>
            <w:noWrap/>
            <w:vAlign w:val="bottom"/>
            <w:hideMark/>
          </w:tcPr>
          <w:p w14:paraId="212B5689" w14:textId="77777777" w:rsidR="008607AC" w:rsidRPr="006F4D00" w:rsidRDefault="008607AC" w:rsidP="008607AC">
            <w:pPr>
              <w:rPr>
                <w:color w:val="000000"/>
                <w:sz w:val="20"/>
                <w:szCs w:val="20"/>
              </w:rPr>
            </w:pPr>
            <w:r w:rsidRPr="006F4D00">
              <w:rPr>
                <w:color w:val="000000"/>
                <w:sz w:val="20"/>
                <w:szCs w:val="20"/>
              </w:rPr>
              <w:t xml:space="preserve"> Manufactures of base metal, n.e.s. (10)</w:t>
            </w:r>
          </w:p>
        </w:tc>
      </w:tr>
      <w:tr w:rsidR="008607AC" w:rsidRPr="006F4D00" w14:paraId="006912B8" w14:textId="77777777" w:rsidTr="008607AC">
        <w:trPr>
          <w:trHeight w:hRule="exact" w:val="227"/>
        </w:trPr>
        <w:tc>
          <w:tcPr>
            <w:tcW w:w="1217" w:type="dxa"/>
            <w:tcBorders>
              <w:top w:val="nil"/>
              <w:left w:val="nil"/>
              <w:bottom w:val="nil"/>
              <w:right w:val="nil"/>
            </w:tcBorders>
            <w:shd w:val="clear" w:color="auto" w:fill="auto"/>
            <w:noWrap/>
            <w:vAlign w:val="bottom"/>
            <w:hideMark/>
          </w:tcPr>
          <w:p w14:paraId="1C070E2D" w14:textId="77777777" w:rsidR="008607AC" w:rsidRPr="006F4D00" w:rsidRDefault="008607AC" w:rsidP="008607AC">
            <w:pPr>
              <w:rPr>
                <w:color w:val="000000"/>
                <w:sz w:val="20"/>
                <w:szCs w:val="20"/>
              </w:rPr>
            </w:pPr>
            <w:r w:rsidRPr="006F4D00">
              <w:rPr>
                <w:color w:val="000000"/>
                <w:sz w:val="20"/>
                <w:szCs w:val="20"/>
              </w:rPr>
              <w:t>71</w:t>
            </w:r>
          </w:p>
        </w:tc>
        <w:tc>
          <w:tcPr>
            <w:tcW w:w="7453" w:type="dxa"/>
            <w:tcBorders>
              <w:top w:val="nil"/>
              <w:left w:val="nil"/>
              <w:bottom w:val="nil"/>
              <w:right w:val="nil"/>
            </w:tcBorders>
            <w:shd w:val="clear" w:color="auto" w:fill="auto"/>
            <w:noWrap/>
            <w:vAlign w:val="bottom"/>
            <w:hideMark/>
          </w:tcPr>
          <w:p w14:paraId="55B79F5A" w14:textId="77777777" w:rsidR="008607AC" w:rsidRPr="006F4D00" w:rsidRDefault="008607AC" w:rsidP="008607AC">
            <w:pPr>
              <w:rPr>
                <w:color w:val="000000"/>
                <w:sz w:val="20"/>
                <w:szCs w:val="20"/>
              </w:rPr>
            </w:pPr>
            <w:r w:rsidRPr="006F4D00">
              <w:rPr>
                <w:color w:val="000000"/>
                <w:sz w:val="20"/>
                <w:szCs w:val="20"/>
              </w:rPr>
              <w:t xml:space="preserve"> Power generating machinery and equipment (26) </w:t>
            </w:r>
          </w:p>
        </w:tc>
      </w:tr>
      <w:tr w:rsidR="008607AC" w:rsidRPr="006F4D00" w14:paraId="3FF84F36" w14:textId="77777777" w:rsidTr="008607AC">
        <w:trPr>
          <w:trHeight w:hRule="exact" w:val="227"/>
        </w:trPr>
        <w:tc>
          <w:tcPr>
            <w:tcW w:w="1217" w:type="dxa"/>
            <w:tcBorders>
              <w:top w:val="nil"/>
              <w:left w:val="nil"/>
              <w:bottom w:val="nil"/>
              <w:right w:val="nil"/>
            </w:tcBorders>
            <w:shd w:val="clear" w:color="auto" w:fill="auto"/>
            <w:noWrap/>
            <w:vAlign w:val="bottom"/>
            <w:hideMark/>
          </w:tcPr>
          <w:p w14:paraId="59FFDA35" w14:textId="77777777" w:rsidR="008607AC" w:rsidRPr="006F4D00" w:rsidRDefault="008607AC" w:rsidP="008607AC">
            <w:pPr>
              <w:rPr>
                <w:color w:val="000000"/>
                <w:sz w:val="20"/>
                <w:szCs w:val="20"/>
              </w:rPr>
            </w:pPr>
            <w:r w:rsidRPr="006F4D00">
              <w:rPr>
                <w:color w:val="000000"/>
                <w:sz w:val="20"/>
                <w:szCs w:val="20"/>
              </w:rPr>
              <w:t>723</w:t>
            </w:r>
          </w:p>
        </w:tc>
        <w:tc>
          <w:tcPr>
            <w:tcW w:w="7453" w:type="dxa"/>
            <w:tcBorders>
              <w:top w:val="nil"/>
              <w:left w:val="nil"/>
              <w:bottom w:val="nil"/>
              <w:right w:val="nil"/>
            </w:tcBorders>
            <w:shd w:val="clear" w:color="auto" w:fill="auto"/>
            <w:noWrap/>
            <w:vAlign w:val="bottom"/>
            <w:hideMark/>
          </w:tcPr>
          <w:p w14:paraId="47631A64" w14:textId="77777777" w:rsidR="008607AC" w:rsidRPr="006F4D00" w:rsidRDefault="008607AC" w:rsidP="008607AC">
            <w:pPr>
              <w:rPr>
                <w:color w:val="000000"/>
                <w:sz w:val="20"/>
                <w:szCs w:val="20"/>
              </w:rPr>
            </w:pPr>
            <w:r w:rsidRPr="006F4D00">
              <w:rPr>
                <w:color w:val="000000"/>
                <w:sz w:val="20"/>
                <w:szCs w:val="20"/>
              </w:rPr>
              <w:t xml:space="preserve"> Civil engineering and contractors plant and parts (4)</w:t>
            </w:r>
          </w:p>
        </w:tc>
      </w:tr>
      <w:tr w:rsidR="008607AC" w:rsidRPr="006F4D00" w14:paraId="43DEAF80" w14:textId="77777777" w:rsidTr="008607AC">
        <w:trPr>
          <w:trHeight w:hRule="exact" w:val="227"/>
        </w:trPr>
        <w:tc>
          <w:tcPr>
            <w:tcW w:w="1217" w:type="dxa"/>
            <w:tcBorders>
              <w:top w:val="nil"/>
              <w:left w:val="nil"/>
              <w:bottom w:val="nil"/>
              <w:right w:val="nil"/>
            </w:tcBorders>
            <w:shd w:val="clear" w:color="auto" w:fill="auto"/>
            <w:noWrap/>
            <w:vAlign w:val="bottom"/>
            <w:hideMark/>
          </w:tcPr>
          <w:p w14:paraId="34039F23" w14:textId="77777777" w:rsidR="008607AC" w:rsidRPr="006F4D00" w:rsidRDefault="008607AC" w:rsidP="008607AC">
            <w:pPr>
              <w:rPr>
                <w:color w:val="000000"/>
                <w:sz w:val="20"/>
                <w:szCs w:val="20"/>
              </w:rPr>
            </w:pPr>
            <w:r w:rsidRPr="006F4D00">
              <w:rPr>
                <w:color w:val="000000"/>
                <w:sz w:val="20"/>
                <w:szCs w:val="20"/>
              </w:rPr>
              <w:t>724</w:t>
            </w:r>
          </w:p>
        </w:tc>
        <w:tc>
          <w:tcPr>
            <w:tcW w:w="7453" w:type="dxa"/>
            <w:tcBorders>
              <w:top w:val="nil"/>
              <w:left w:val="nil"/>
              <w:bottom w:val="nil"/>
              <w:right w:val="nil"/>
            </w:tcBorders>
            <w:shd w:val="clear" w:color="auto" w:fill="auto"/>
            <w:noWrap/>
            <w:vAlign w:val="bottom"/>
            <w:hideMark/>
          </w:tcPr>
          <w:p w14:paraId="09FCD75D" w14:textId="77777777" w:rsidR="008607AC" w:rsidRPr="006F4D00" w:rsidRDefault="008607AC" w:rsidP="008607AC">
            <w:pPr>
              <w:rPr>
                <w:color w:val="000000"/>
                <w:sz w:val="20"/>
                <w:szCs w:val="20"/>
              </w:rPr>
            </w:pPr>
            <w:r w:rsidRPr="006F4D00">
              <w:rPr>
                <w:color w:val="000000"/>
                <w:sz w:val="20"/>
                <w:szCs w:val="20"/>
              </w:rPr>
              <w:t xml:space="preserve"> Textile &amp; leather machinery and parts (7)</w:t>
            </w:r>
          </w:p>
        </w:tc>
      </w:tr>
      <w:tr w:rsidR="008607AC" w:rsidRPr="006F4D00" w14:paraId="19AA92F7" w14:textId="77777777" w:rsidTr="008607AC">
        <w:trPr>
          <w:trHeight w:hRule="exact" w:val="227"/>
        </w:trPr>
        <w:tc>
          <w:tcPr>
            <w:tcW w:w="1217" w:type="dxa"/>
            <w:tcBorders>
              <w:top w:val="nil"/>
              <w:left w:val="nil"/>
              <w:bottom w:val="nil"/>
              <w:right w:val="nil"/>
            </w:tcBorders>
            <w:shd w:val="clear" w:color="auto" w:fill="auto"/>
            <w:noWrap/>
            <w:vAlign w:val="bottom"/>
            <w:hideMark/>
          </w:tcPr>
          <w:p w14:paraId="50FF9B7D" w14:textId="77777777" w:rsidR="008607AC" w:rsidRPr="006F4D00" w:rsidRDefault="008607AC" w:rsidP="008607AC">
            <w:pPr>
              <w:rPr>
                <w:color w:val="000000"/>
                <w:sz w:val="20"/>
                <w:szCs w:val="20"/>
              </w:rPr>
            </w:pPr>
            <w:r w:rsidRPr="006F4D00">
              <w:rPr>
                <w:color w:val="000000"/>
                <w:sz w:val="20"/>
                <w:szCs w:val="20"/>
              </w:rPr>
              <w:t>725</w:t>
            </w:r>
          </w:p>
        </w:tc>
        <w:tc>
          <w:tcPr>
            <w:tcW w:w="7453" w:type="dxa"/>
            <w:tcBorders>
              <w:top w:val="nil"/>
              <w:left w:val="nil"/>
              <w:bottom w:val="nil"/>
              <w:right w:val="nil"/>
            </w:tcBorders>
            <w:shd w:val="clear" w:color="auto" w:fill="auto"/>
            <w:noWrap/>
            <w:vAlign w:val="bottom"/>
            <w:hideMark/>
          </w:tcPr>
          <w:p w14:paraId="78FCEA04" w14:textId="77777777" w:rsidR="008607AC" w:rsidRPr="006F4D00" w:rsidRDefault="008607AC" w:rsidP="008607AC">
            <w:pPr>
              <w:rPr>
                <w:color w:val="000000"/>
                <w:sz w:val="20"/>
                <w:szCs w:val="20"/>
              </w:rPr>
            </w:pPr>
            <w:r w:rsidRPr="006F4D00">
              <w:rPr>
                <w:color w:val="000000"/>
                <w:sz w:val="20"/>
                <w:szCs w:val="20"/>
              </w:rPr>
              <w:t xml:space="preserve"> Paper and pulp mill mach., mach for manuf.of paper (4)</w:t>
            </w:r>
          </w:p>
        </w:tc>
      </w:tr>
      <w:tr w:rsidR="008607AC" w:rsidRPr="006F4D00" w14:paraId="3B479840" w14:textId="77777777" w:rsidTr="008607AC">
        <w:trPr>
          <w:trHeight w:hRule="exact" w:val="227"/>
        </w:trPr>
        <w:tc>
          <w:tcPr>
            <w:tcW w:w="1217" w:type="dxa"/>
            <w:tcBorders>
              <w:top w:val="nil"/>
              <w:left w:val="nil"/>
              <w:bottom w:val="nil"/>
              <w:right w:val="nil"/>
            </w:tcBorders>
            <w:shd w:val="clear" w:color="auto" w:fill="auto"/>
            <w:noWrap/>
            <w:vAlign w:val="bottom"/>
            <w:hideMark/>
          </w:tcPr>
          <w:p w14:paraId="3FD4DCC8" w14:textId="77777777" w:rsidR="008607AC" w:rsidRPr="006F4D00" w:rsidRDefault="008607AC" w:rsidP="008607AC">
            <w:pPr>
              <w:rPr>
                <w:color w:val="000000"/>
                <w:sz w:val="20"/>
                <w:szCs w:val="20"/>
              </w:rPr>
            </w:pPr>
            <w:r w:rsidRPr="006F4D00">
              <w:rPr>
                <w:color w:val="000000"/>
                <w:sz w:val="20"/>
                <w:szCs w:val="20"/>
              </w:rPr>
              <w:t>726</w:t>
            </w:r>
          </w:p>
        </w:tc>
        <w:tc>
          <w:tcPr>
            <w:tcW w:w="7453" w:type="dxa"/>
            <w:tcBorders>
              <w:top w:val="nil"/>
              <w:left w:val="nil"/>
              <w:bottom w:val="nil"/>
              <w:right w:val="nil"/>
            </w:tcBorders>
            <w:shd w:val="clear" w:color="auto" w:fill="auto"/>
            <w:noWrap/>
            <w:vAlign w:val="bottom"/>
            <w:hideMark/>
          </w:tcPr>
          <w:p w14:paraId="6426B055" w14:textId="77777777" w:rsidR="008607AC" w:rsidRPr="006F4D00" w:rsidRDefault="008607AC" w:rsidP="008607AC">
            <w:pPr>
              <w:rPr>
                <w:color w:val="000000"/>
                <w:sz w:val="20"/>
                <w:szCs w:val="20"/>
              </w:rPr>
            </w:pPr>
            <w:r w:rsidRPr="006F4D00">
              <w:rPr>
                <w:color w:val="000000"/>
                <w:sz w:val="20"/>
                <w:szCs w:val="20"/>
              </w:rPr>
              <w:t xml:space="preserve"> Printing and bookbinding mach.and parts (6)</w:t>
            </w:r>
          </w:p>
        </w:tc>
      </w:tr>
      <w:tr w:rsidR="008607AC" w:rsidRPr="006F4D00" w14:paraId="0D3BECA5" w14:textId="77777777" w:rsidTr="008607AC">
        <w:trPr>
          <w:trHeight w:hRule="exact" w:val="227"/>
        </w:trPr>
        <w:tc>
          <w:tcPr>
            <w:tcW w:w="1217" w:type="dxa"/>
            <w:tcBorders>
              <w:top w:val="nil"/>
              <w:left w:val="nil"/>
              <w:bottom w:val="nil"/>
              <w:right w:val="nil"/>
            </w:tcBorders>
            <w:shd w:val="clear" w:color="auto" w:fill="auto"/>
            <w:noWrap/>
            <w:vAlign w:val="bottom"/>
            <w:hideMark/>
          </w:tcPr>
          <w:p w14:paraId="44A8B441" w14:textId="77777777" w:rsidR="008607AC" w:rsidRPr="006F4D00" w:rsidRDefault="008607AC" w:rsidP="008607AC">
            <w:pPr>
              <w:rPr>
                <w:color w:val="000000"/>
                <w:sz w:val="20"/>
                <w:szCs w:val="20"/>
              </w:rPr>
            </w:pPr>
            <w:r w:rsidRPr="006F4D00">
              <w:rPr>
                <w:color w:val="000000"/>
                <w:sz w:val="20"/>
                <w:szCs w:val="20"/>
              </w:rPr>
              <w:t>727</w:t>
            </w:r>
          </w:p>
        </w:tc>
        <w:tc>
          <w:tcPr>
            <w:tcW w:w="7453" w:type="dxa"/>
            <w:tcBorders>
              <w:top w:val="nil"/>
              <w:left w:val="nil"/>
              <w:bottom w:val="nil"/>
              <w:right w:val="nil"/>
            </w:tcBorders>
            <w:shd w:val="clear" w:color="auto" w:fill="auto"/>
            <w:noWrap/>
            <w:vAlign w:val="bottom"/>
            <w:hideMark/>
          </w:tcPr>
          <w:p w14:paraId="1717F5C3" w14:textId="77777777" w:rsidR="008607AC" w:rsidRPr="006F4D00" w:rsidRDefault="008607AC" w:rsidP="008607AC">
            <w:pPr>
              <w:rPr>
                <w:color w:val="000000"/>
                <w:sz w:val="20"/>
                <w:szCs w:val="20"/>
              </w:rPr>
            </w:pPr>
            <w:r w:rsidRPr="006F4D00">
              <w:rPr>
                <w:color w:val="000000"/>
                <w:sz w:val="20"/>
                <w:szCs w:val="20"/>
              </w:rPr>
              <w:t xml:space="preserve"> Food processing machines and parts (2)</w:t>
            </w:r>
          </w:p>
        </w:tc>
      </w:tr>
      <w:tr w:rsidR="008607AC" w:rsidRPr="006F4D00" w14:paraId="31D4545C" w14:textId="77777777" w:rsidTr="008607AC">
        <w:trPr>
          <w:trHeight w:hRule="exact" w:val="227"/>
        </w:trPr>
        <w:tc>
          <w:tcPr>
            <w:tcW w:w="1217" w:type="dxa"/>
            <w:tcBorders>
              <w:top w:val="nil"/>
              <w:left w:val="nil"/>
              <w:bottom w:val="nil"/>
              <w:right w:val="nil"/>
            </w:tcBorders>
            <w:shd w:val="clear" w:color="auto" w:fill="auto"/>
            <w:noWrap/>
            <w:vAlign w:val="bottom"/>
            <w:hideMark/>
          </w:tcPr>
          <w:p w14:paraId="4EF22F43" w14:textId="77777777" w:rsidR="008607AC" w:rsidRPr="006F4D00" w:rsidRDefault="008607AC" w:rsidP="008607AC">
            <w:pPr>
              <w:rPr>
                <w:color w:val="000000"/>
                <w:sz w:val="20"/>
                <w:szCs w:val="20"/>
              </w:rPr>
            </w:pPr>
            <w:r w:rsidRPr="006F4D00">
              <w:rPr>
                <w:color w:val="000000"/>
                <w:sz w:val="20"/>
                <w:szCs w:val="20"/>
              </w:rPr>
              <w:t>728</w:t>
            </w:r>
          </w:p>
        </w:tc>
        <w:tc>
          <w:tcPr>
            <w:tcW w:w="7453" w:type="dxa"/>
            <w:tcBorders>
              <w:top w:val="nil"/>
              <w:left w:val="nil"/>
              <w:bottom w:val="nil"/>
              <w:right w:val="nil"/>
            </w:tcBorders>
            <w:shd w:val="clear" w:color="auto" w:fill="auto"/>
            <w:noWrap/>
            <w:vAlign w:val="bottom"/>
            <w:hideMark/>
          </w:tcPr>
          <w:p w14:paraId="3C0BF575" w14:textId="77777777" w:rsidR="008607AC" w:rsidRPr="006F4D00" w:rsidRDefault="008607AC" w:rsidP="008607AC">
            <w:pPr>
              <w:rPr>
                <w:color w:val="000000"/>
                <w:sz w:val="20"/>
                <w:szCs w:val="20"/>
              </w:rPr>
            </w:pPr>
            <w:r w:rsidRPr="006F4D00">
              <w:rPr>
                <w:color w:val="000000"/>
                <w:sz w:val="20"/>
                <w:szCs w:val="20"/>
              </w:rPr>
              <w:t xml:space="preserve"> Mach. &amp; equipment specialized for particular ind. (5)</w:t>
            </w:r>
          </w:p>
        </w:tc>
      </w:tr>
      <w:tr w:rsidR="008607AC" w:rsidRPr="006F4D00" w14:paraId="2AD943C4" w14:textId="77777777" w:rsidTr="008607AC">
        <w:trPr>
          <w:trHeight w:hRule="exact" w:val="227"/>
        </w:trPr>
        <w:tc>
          <w:tcPr>
            <w:tcW w:w="1217" w:type="dxa"/>
            <w:tcBorders>
              <w:top w:val="nil"/>
              <w:left w:val="nil"/>
              <w:bottom w:val="nil"/>
              <w:right w:val="nil"/>
            </w:tcBorders>
            <w:shd w:val="clear" w:color="auto" w:fill="auto"/>
            <w:noWrap/>
            <w:vAlign w:val="bottom"/>
            <w:hideMark/>
          </w:tcPr>
          <w:p w14:paraId="39B51282" w14:textId="77777777" w:rsidR="008607AC" w:rsidRPr="006F4D00" w:rsidRDefault="008607AC" w:rsidP="008607AC">
            <w:pPr>
              <w:rPr>
                <w:color w:val="000000"/>
                <w:sz w:val="20"/>
                <w:szCs w:val="20"/>
              </w:rPr>
            </w:pPr>
            <w:r w:rsidRPr="006F4D00">
              <w:rPr>
                <w:color w:val="000000"/>
                <w:sz w:val="20"/>
                <w:szCs w:val="20"/>
              </w:rPr>
              <w:t>73</w:t>
            </w:r>
          </w:p>
        </w:tc>
        <w:tc>
          <w:tcPr>
            <w:tcW w:w="7453" w:type="dxa"/>
            <w:tcBorders>
              <w:top w:val="nil"/>
              <w:left w:val="nil"/>
              <w:bottom w:val="nil"/>
              <w:right w:val="nil"/>
            </w:tcBorders>
            <w:shd w:val="clear" w:color="auto" w:fill="auto"/>
            <w:noWrap/>
            <w:vAlign w:val="bottom"/>
            <w:hideMark/>
          </w:tcPr>
          <w:p w14:paraId="7293CAD5" w14:textId="77777777" w:rsidR="008607AC" w:rsidRPr="006F4D00" w:rsidRDefault="008607AC" w:rsidP="008607AC">
            <w:pPr>
              <w:rPr>
                <w:color w:val="000000"/>
                <w:sz w:val="20"/>
                <w:szCs w:val="20"/>
              </w:rPr>
            </w:pPr>
            <w:r w:rsidRPr="006F4D00">
              <w:rPr>
                <w:color w:val="000000"/>
                <w:sz w:val="20"/>
                <w:szCs w:val="20"/>
              </w:rPr>
              <w:t xml:space="preserve"> Metalworking machinery (11)</w:t>
            </w:r>
          </w:p>
        </w:tc>
      </w:tr>
      <w:tr w:rsidR="008607AC" w:rsidRPr="006F4D00" w14:paraId="2ECA1D19" w14:textId="77777777" w:rsidTr="008607AC">
        <w:trPr>
          <w:trHeight w:hRule="exact" w:val="227"/>
        </w:trPr>
        <w:tc>
          <w:tcPr>
            <w:tcW w:w="1217" w:type="dxa"/>
            <w:tcBorders>
              <w:top w:val="nil"/>
              <w:left w:val="nil"/>
              <w:bottom w:val="nil"/>
              <w:right w:val="nil"/>
            </w:tcBorders>
            <w:shd w:val="clear" w:color="auto" w:fill="auto"/>
            <w:noWrap/>
            <w:vAlign w:val="bottom"/>
            <w:hideMark/>
          </w:tcPr>
          <w:p w14:paraId="6C098FBD" w14:textId="77777777" w:rsidR="008607AC" w:rsidRPr="006F4D00" w:rsidRDefault="008607AC" w:rsidP="008607AC">
            <w:pPr>
              <w:rPr>
                <w:color w:val="000000"/>
                <w:sz w:val="20"/>
                <w:szCs w:val="20"/>
              </w:rPr>
            </w:pPr>
            <w:r w:rsidRPr="006F4D00">
              <w:rPr>
                <w:color w:val="000000"/>
                <w:sz w:val="20"/>
                <w:szCs w:val="20"/>
              </w:rPr>
              <w:t>745</w:t>
            </w:r>
          </w:p>
        </w:tc>
        <w:tc>
          <w:tcPr>
            <w:tcW w:w="7453" w:type="dxa"/>
            <w:tcBorders>
              <w:top w:val="nil"/>
              <w:left w:val="nil"/>
              <w:bottom w:val="nil"/>
              <w:right w:val="nil"/>
            </w:tcBorders>
            <w:shd w:val="clear" w:color="auto" w:fill="auto"/>
            <w:noWrap/>
            <w:vAlign w:val="bottom"/>
            <w:hideMark/>
          </w:tcPr>
          <w:p w14:paraId="45DC482F" w14:textId="77777777" w:rsidR="008607AC" w:rsidRPr="006F4D00" w:rsidRDefault="008607AC" w:rsidP="008607AC">
            <w:pPr>
              <w:rPr>
                <w:color w:val="000000"/>
                <w:sz w:val="20"/>
                <w:szCs w:val="20"/>
              </w:rPr>
            </w:pPr>
            <w:r w:rsidRPr="006F4D00">
              <w:rPr>
                <w:color w:val="000000"/>
                <w:sz w:val="20"/>
                <w:szCs w:val="20"/>
              </w:rPr>
              <w:t xml:space="preserve"> Other non-electrical mach.tools, apparatus &amp;</w:t>
            </w:r>
            <w:r w:rsidRPr="006F4D00">
              <w:rPr>
                <w:b/>
                <w:bCs/>
                <w:color w:val="000000"/>
                <w:sz w:val="20"/>
                <w:szCs w:val="20"/>
              </w:rPr>
              <w:t xml:space="preserve"> </w:t>
            </w:r>
            <w:r w:rsidRPr="006F4D00">
              <w:rPr>
                <w:color w:val="000000"/>
                <w:sz w:val="20"/>
                <w:szCs w:val="20"/>
              </w:rPr>
              <w:t>parts (2)</w:t>
            </w:r>
          </w:p>
        </w:tc>
      </w:tr>
      <w:tr w:rsidR="008607AC" w:rsidRPr="006F4D00" w14:paraId="7F77F7F7" w14:textId="77777777" w:rsidTr="008607AC">
        <w:trPr>
          <w:trHeight w:hRule="exact" w:val="227"/>
        </w:trPr>
        <w:tc>
          <w:tcPr>
            <w:tcW w:w="1217" w:type="dxa"/>
            <w:tcBorders>
              <w:top w:val="nil"/>
              <w:left w:val="nil"/>
              <w:bottom w:val="nil"/>
              <w:right w:val="nil"/>
            </w:tcBorders>
            <w:shd w:val="clear" w:color="auto" w:fill="auto"/>
            <w:noWrap/>
            <w:vAlign w:val="bottom"/>
            <w:hideMark/>
          </w:tcPr>
          <w:p w14:paraId="1ACB22BF" w14:textId="77777777" w:rsidR="008607AC" w:rsidRPr="006F4D00" w:rsidRDefault="008607AC" w:rsidP="008607AC">
            <w:pPr>
              <w:rPr>
                <w:color w:val="000000"/>
                <w:sz w:val="20"/>
                <w:szCs w:val="20"/>
              </w:rPr>
            </w:pPr>
            <w:r w:rsidRPr="006F4D00">
              <w:rPr>
                <w:color w:val="000000"/>
                <w:sz w:val="20"/>
                <w:szCs w:val="20"/>
              </w:rPr>
              <w:t>749</w:t>
            </w:r>
          </w:p>
        </w:tc>
        <w:tc>
          <w:tcPr>
            <w:tcW w:w="7453" w:type="dxa"/>
            <w:tcBorders>
              <w:top w:val="nil"/>
              <w:left w:val="nil"/>
              <w:bottom w:val="nil"/>
              <w:right w:val="nil"/>
            </w:tcBorders>
            <w:shd w:val="clear" w:color="auto" w:fill="auto"/>
            <w:noWrap/>
            <w:vAlign w:val="bottom"/>
            <w:hideMark/>
          </w:tcPr>
          <w:p w14:paraId="7E00CAFB" w14:textId="77777777" w:rsidR="008607AC" w:rsidRPr="006F4D00" w:rsidRDefault="008607AC" w:rsidP="008607AC">
            <w:pPr>
              <w:rPr>
                <w:color w:val="000000"/>
                <w:sz w:val="20"/>
                <w:szCs w:val="20"/>
              </w:rPr>
            </w:pPr>
            <w:r w:rsidRPr="006F4D00">
              <w:rPr>
                <w:color w:val="000000"/>
                <w:sz w:val="20"/>
                <w:szCs w:val="20"/>
              </w:rPr>
              <w:t xml:space="preserve"> Non-electric parts and accessories of machines (5)</w:t>
            </w:r>
          </w:p>
        </w:tc>
      </w:tr>
      <w:tr w:rsidR="008607AC" w:rsidRPr="006F4D00" w14:paraId="6F236C54" w14:textId="77777777" w:rsidTr="008607AC">
        <w:trPr>
          <w:trHeight w:hRule="exact" w:val="227"/>
        </w:trPr>
        <w:tc>
          <w:tcPr>
            <w:tcW w:w="1217" w:type="dxa"/>
            <w:tcBorders>
              <w:top w:val="nil"/>
              <w:left w:val="nil"/>
              <w:bottom w:val="nil"/>
              <w:right w:val="nil"/>
            </w:tcBorders>
            <w:shd w:val="clear" w:color="auto" w:fill="auto"/>
            <w:noWrap/>
            <w:vAlign w:val="bottom"/>
            <w:hideMark/>
          </w:tcPr>
          <w:p w14:paraId="3870B771" w14:textId="77777777" w:rsidR="008607AC" w:rsidRPr="006F4D00" w:rsidRDefault="008607AC" w:rsidP="008607AC">
            <w:pPr>
              <w:rPr>
                <w:color w:val="000000"/>
                <w:sz w:val="20"/>
                <w:szCs w:val="20"/>
              </w:rPr>
            </w:pPr>
            <w:r w:rsidRPr="006F4D00">
              <w:rPr>
                <w:color w:val="000000"/>
                <w:sz w:val="20"/>
                <w:szCs w:val="20"/>
              </w:rPr>
              <w:t>75</w:t>
            </w:r>
          </w:p>
        </w:tc>
        <w:tc>
          <w:tcPr>
            <w:tcW w:w="7453" w:type="dxa"/>
            <w:tcBorders>
              <w:top w:val="nil"/>
              <w:left w:val="nil"/>
              <w:bottom w:val="nil"/>
              <w:right w:val="nil"/>
            </w:tcBorders>
            <w:shd w:val="clear" w:color="auto" w:fill="auto"/>
            <w:noWrap/>
            <w:vAlign w:val="bottom"/>
            <w:hideMark/>
          </w:tcPr>
          <w:p w14:paraId="573A3581" w14:textId="77777777" w:rsidR="008607AC" w:rsidRPr="006F4D00" w:rsidRDefault="008607AC" w:rsidP="008607AC">
            <w:pPr>
              <w:rPr>
                <w:color w:val="000000"/>
                <w:sz w:val="20"/>
                <w:szCs w:val="20"/>
              </w:rPr>
            </w:pPr>
            <w:r w:rsidRPr="006F4D00">
              <w:rPr>
                <w:color w:val="000000"/>
                <w:sz w:val="20"/>
                <w:szCs w:val="20"/>
              </w:rPr>
              <w:t xml:space="preserve"> Office machines &amp; automatic data processing equipment (15)</w:t>
            </w:r>
          </w:p>
        </w:tc>
      </w:tr>
      <w:tr w:rsidR="008607AC" w:rsidRPr="006F4D00" w14:paraId="1E17D0DD" w14:textId="77777777" w:rsidTr="008607AC">
        <w:trPr>
          <w:trHeight w:hRule="exact" w:val="227"/>
        </w:trPr>
        <w:tc>
          <w:tcPr>
            <w:tcW w:w="1217" w:type="dxa"/>
            <w:tcBorders>
              <w:top w:val="nil"/>
              <w:left w:val="nil"/>
              <w:bottom w:val="nil"/>
              <w:right w:val="nil"/>
            </w:tcBorders>
            <w:shd w:val="clear" w:color="auto" w:fill="auto"/>
            <w:noWrap/>
            <w:vAlign w:val="bottom"/>
            <w:hideMark/>
          </w:tcPr>
          <w:p w14:paraId="3CFFC3E2" w14:textId="77777777" w:rsidR="008607AC" w:rsidRPr="006F4D00" w:rsidRDefault="008607AC" w:rsidP="008607AC">
            <w:pPr>
              <w:rPr>
                <w:color w:val="000000"/>
                <w:sz w:val="20"/>
                <w:szCs w:val="20"/>
              </w:rPr>
            </w:pPr>
            <w:r w:rsidRPr="006F4D00">
              <w:rPr>
                <w:color w:val="000000"/>
                <w:sz w:val="20"/>
                <w:szCs w:val="20"/>
              </w:rPr>
              <w:t>76</w:t>
            </w:r>
          </w:p>
        </w:tc>
        <w:tc>
          <w:tcPr>
            <w:tcW w:w="7453" w:type="dxa"/>
            <w:tcBorders>
              <w:top w:val="nil"/>
              <w:left w:val="nil"/>
              <w:bottom w:val="nil"/>
              <w:right w:val="nil"/>
            </w:tcBorders>
            <w:shd w:val="clear" w:color="auto" w:fill="auto"/>
            <w:noWrap/>
            <w:vAlign w:val="bottom"/>
            <w:hideMark/>
          </w:tcPr>
          <w:p w14:paraId="3B0A8833" w14:textId="77777777" w:rsidR="008607AC" w:rsidRPr="006F4D00" w:rsidRDefault="008607AC" w:rsidP="008607AC">
            <w:pPr>
              <w:rPr>
                <w:color w:val="000000"/>
                <w:sz w:val="20"/>
                <w:szCs w:val="20"/>
              </w:rPr>
            </w:pPr>
            <w:r w:rsidRPr="006F4D00">
              <w:rPr>
                <w:color w:val="000000"/>
                <w:sz w:val="20"/>
                <w:szCs w:val="20"/>
              </w:rPr>
              <w:t xml:space="preserve"> Telecommunications &amp;  sound recording apparatus (16)</w:t>
            </w:r>
          </w:p>
        </w:tc>
      </w:tr>
      <w:tr w:rsidR="008607AC" w:rsidRPr="006F4D00" w14:paraId="2D8A413E" w14:textId="77777777" w:rsidTr="008607AC">
        <w:trPr>
          <w:trHeight w:hRule="exact" w:val="227"/>
        </w:trPr>
        <w:tc>
          <w:tcPr>
            <w:tcW w:w="1217" w:type="dxa"/>
            <w:tcBorders>
              <w:top w:val="nil"/>
              <w:left w:val="nil"/>
              <w:bottom w:val="nil"/>
              <w:right w:val="nil"/>
            </w:tcBorders>
            <w:shd w:val="clear" w:color="auto" w:fill="auto"/>
            <w:noWrap/>
            <w:vAlign w:val="bottom"/>
            <w:hideMark/>
          </w:tcPr>
          <w:p w14:paraId="12B47AF1" w14:textId="77777777" w:rsidR="008607AC" w:rsidRPr="006F4D00" w:rsidRDefault="008607AC" w:rsidP="008607AC">
            <w:pPr>
              <w:rPr>
                <w:color w:val="000000"/>
                <w:sz w:val="20"/>
                <w:szCs w:val="20"/>
              </w:rPr>
            </w:pPr>
            <w:r w:rsidRPr="006F4D00">
              <w:rPr>
                <w:color w:val="000000"/>
                <w:sz w:val="20"/>
                <w:szCs w:val="20"/>
              </w:rPr>
              <w:t>77</w:t>
            </w:r>
          </w:p>
        </w:tc>
        <w:tc>
          <w:tcPr>
            <w:tcW w:w="7453" w:type="dxa"/>
            <w:tcBorders>
              <w:top w:val="nil"/>
              <w:left w:val="nil"/>
              <w:bottom w:val="nil"/>
              <w:right w:val="nil"/>
            </w:tcBorders>
            <w:shd w:val="clear" w:color="auto" w:fill="auto"/>
            <w:noWrap/>
            <w:vAlign w:val="bottom"/>
            <w:hideMark/>
          </w:tcPr>
          <w:p w14:paraId="30DD1C0F" w14:textId="77777777" w:rsidR="008607AC" w:rsidRPr="006F4D00" w:rsidRDefault="008607AC" w:rsidP="008607AC">
            <w:pPr>
              <w:rPr>
                <w:color w:val="000000"/>
                <w:sz w:val="20"/>
                <w:szCs w:val="20"/>
              </w:rPr>
            </w:pPr>
            <w:r w:rsidRPr="006F4D00">
              <w:rPr>
                <w:color w:val="000000"/>
                <w:sz w:val="20"/>
                <w:szCs w:val="20"/>
              </w:rPr>
              <w:t xml:space="preserve"> Electrical machinery, apparatus &amp;  appliances n.e.s. (31)</w:t>
            </w:r>
          </w:p>
        </w:tc>
      </w:tr>
      <w:tr w:rsidR="008607AC" w:rsidRPr="006F4D00" w14:paraId="21E77B19" w14:textId="77777777" w:rsidTr="008607AC">
        <w:trPr>
          <w:trHeight w:hRule="exact" w:val="227"/>
        </w:trPr>
        <w:tc>
          <w:tcPr>
            <w:tcW w:w="1217" w:type="dxa"/>
            <w:tcBorders>
              <w:top w:val="nil"/>
              <w:left w:val="nil"/>
              <w:bottom w:val="nil"/>
              <w:right w:val="nil"/>
            </w:tcBorders>
            <w:shd w:val="clear" w:color="auto" w:fill="auto"/>
            <w:noWrap/>
            <w:vAlign w:val="bottom"/>
            <w:hideMark/>
          </w:tcPr>
          <w:p w14:paraId="2BF5C08A" w14:textId="77777777" w:rsidR="008607AC" w:rsidRPr="006F4D00" w:rsidRDefault="008607AC" w:rsidP="008607AC">
            <w:pPr>
              <w:rPr>
                <w:color w:val="000000"/>
                <w:sz w:val="20"/>
                <w:szCs w:val="20"/>
              </w:rPr>
            </w:pPr>
            <w:r w:rsidRPr="006F4D00">
              <w:rPr>
                <w:color w:val="000000"/>
                <w:sz w:val="20"/>
                <w:szCs w:val="20"/>
              </w:rPr>
              <w:t>8</w:t>
            </w:r>
          </w:p>
        </w:tc>
        <w:tc>
          <w:tcPr>
            <w:tcW w:w="7453" w:type="dxa"/>
            <w:tcBorders>
              <w:top w:val="nil"/>
              <w:left w:val="nil"/>
              <w:bottom w:val="nil"/>
              <w:right w:val="nil"/>
            </w:tcBorders>
            <w:shd w:val="clear" w:color="auto" w:fill="auto"/>
            <w:noWrap/>
            <w:vAlign w:val="bottom"/>
            <w:hideMark/>
          </w:tcPr>
          <w:p w14:paraId="0DE83FE2" w14:textId="77777777" w:rsidR="008607AC" w:rsidRPr="006F4D00" w:rsidRDefault="008607AC" w:rsidP="008607AC">
            <w:pPr>
              <w:rPr>
                <w:color w:val="000000"/>
                <w:sz w:val="20"/>
                <w:szCs w:val="20"/>
              </w:rPr>
            </w:pPr>
            <w:r w:rsidRPr="006F4D00">
              <w:rPr>
                <w:color w:val="000000"/>
                <w:sz w:val="20"/>
                <w:szCs w:val="20"/>
              </w:rPr>
              <w:t xml:space="preserve"> Miscellaneous manufactured articles (114) </w:t>
            </w:r>
          </w:p>
        </w:tc>
      </w:tr>
    </w:tbl>
    <w:p w14:paraId="486A3830" w14:textId="77777777" w:rsidR="008607AC" w:rsidRPr="007F55C7" w:rsidRDefault="008607AC" w:rsidP="008607AC">
      <w:pPr>
        <w:pStyle w:val="Caption"/>
        <w:keepNext/>
      </w:pPr>
    </w:p>
    <w:p w14:paraId="2DFA5591" w14:textId="77777777" w:rsidR="008607AC" w:rsidRPr="00C66168" w:rsidRDefault="008607AC" w:rsidP="008607AC">
      <w:r w:rsidRPr="00C66168">
        <w:t>Panel B: non-containerizable products at the 4-digit SITC level as of 1968 (275 products)</w:t>
      </w:r>
    </w:p>
    <w:tbl>
      <w:tblPr>
        <w:tblW w:w="7331" w:type="dxa"/>
        <w:tblInd w:w="93" w:type="dxa"/>
        <w:tblLook w:val="04A0" w:firstRow="1" w:lastRow="0" w:firstColumn="1" w:lastColumn="0" w:noHBand="0" w:noVBand="1"/>
      </w:tblPr>
      <w:tblGrid>
        <w:gridCol w:w="1300"/>
        <w:gridCol w:w="6031"/>
      </w:tblGrid>
      <w:tr w:rsidR="008607AC" w:rsidRPr="006F4D00" w14:paraId="25984F08" w14:textId="77777777" w:rsidTr="008607AC">
        <w:trPr>
          <w:trHeight w:val="300"/>
        </w:trPr>
        <w:tc>
          <w:tcPr>
            <w:tcW w:w="1300" w:type="dxa"/>
            <w:tcBorders>
              <w:top w:val="nil"/>
              <w:left w:val="nil"/>
              <w:bottom w:val="nil"/>
              <w:right w:val="nil"/>
            </w:tcBorders>
            <w:shd w:val="clear" w:color="auto" w:fill="auto"/>
            <w:noWrap/>
            <w:vAlign w:val="bottom"/>
            <w:hideMark/>
          </w:tcPr>
          <w:p w14:paraId="77B16421" w14:textId="77777777" w:rsidR="008607AC" w:rsidRPr="006F4D00" w:rsidRDefault="008607AC" w:rsidP="008607AC">
            <w:pPr>
              <w:rPr>
                <w:b/>
                <w:color w:val="000000"/>
                <w:sz w:val="20"/>
                <w:szCs w:val="20"/>
              </w:rPr>
            </w:pPr>
            <w:r w:rsidRPr="006F4D00">
              <w:rPr>
                <w:b/>
                <w:color w:val="000000"/>
                <w:sz w:val="20"/>
                <w:szCs w:val="20"/>
              </w:rPr>
              <w:t xml:space="preserve">Code </w:t>
            </w:r>
          </w:p>
        </w:tc>
        <w:tc>
          <w:tcPr>
            <w:tcW w:w="6031" w:type="dxa"/>
            <w:tcBorders>
              <w:top w:val="nil"/>
              <w:left w:val="nil"/>
              <w:bottom w:val="nil"/>
              <w:right w:val="nil"/>
            </w:tcBorders>
            <w:shd w:val="clear" w:color="auto" w:fill="auto"/>
            <w:noWrap/>
            <w:vAlign w:val="bottom"/>
            <w:hideMark/>
          </w:tcPr>
          <w:p w14:paraId="6B5B38A0" w14:textId="77777777" w:rsidR="008607AC" w:rsidRPr="006F4D00" w:rsidRDefault="008607AC" w:rsidP="008607AC">
            <w:pPr>
              <w:rPr>
                <w:b/>
                <w:color w:val="000000"/>
                <w:sz w:val="20"/>
                <w:szCs w:val="20"/>
              </w:rPr>
            </w:pPr>
            <w:r w:rsidRPr="006F4D00">
              <w:rPr>
                <w:b/>
                <w:color w:val="000000"/>
                <w:sz w:val="20"/>
                <w:szCs w:val="20"/>
              </w:rPr>
              <w:t xml:space="preserve"> Good Description (number of underlying 4-digit products)</w:t>
            </w:r>
          </w:p>
        </w:tc>
      </w:tr>
      <w:tr w:rsidR="008607AC" w:rsidRPr="006F4D00" w14:paraId="3ADD1836" w14:textId="77777777" w:rsidTr="008607AC">
        <w:trPr>
          <w:trHeight w:val="300"/>
        </w:trPr>
        <w:tc>
          <w:tcPr>
            <w:tcW w:w="1300" w:type="dxa"/>
            <w:tcBorders>
              <w:top w:val="nil"/>
              <w:left w:val="nil"/>
              <w:bottom w:val="nil"/>
              <w:right w:val="nil"/>
            </w:tcBorders>
            <w:shd w:val="clear" w:color="auto" w:fill="auto"/>
            <w:noWrap/>
            <w:vAlign w:val="bottom"/>
            <w:hideMark/>
          </w:tcPr>
          <w:p w14:paraId="5F1CB7F3" w14:textId="77777777" w:rsidR="008607AC" w:rsidRPr="006F4D00" w:rsidRDefault="008607AC" w:rsidP="008607AC">
            <w:pPr>
              <w:rPr>
                <w:color w:val="000000"/>
                <w:sz w:val="20"/>
                <w:szCs w:val="20"/>
              </w:rPr>
            </w:pPr>
            <w:r w:rsidRPr="006F4D00">
              <w:rPr>
                <w:color w:val="000000"/>
                <w:sz w:val="20"/>
                <w:szCs w:val="20"/>
              </w:rPr>
              <w:t>001</w:t>
            </w:r>
          </w:p>
        </w:tc>
        <w:tc>
          <w:tcPr>
            <w:tcW w:w="6031" w:type="dxa"/>
            <w:tcBorders>
              <w:top w:val="nil"/>
              <w:left w:val="nil"/>
              <w:bottom w:val="nil"/>
              <w:right w:val="nil"/>
            </w:tcBorders>
            <w:shd w:val="clear" w:color="auto" w:fill="auto"/>
            <w:noWrap/>
            <w:vAlign w:val="bottom"/>
            <w:hideMark/>
          </w:tcPr>
          <w:p w14:paraId="6BC9E182" w14:textId="77777777" w:rsidR="008607AC" w:rsidRPr="006F4D00" w:rsidRDefault="008607AC" w:rsidP="008607AC">
            <w:pPr>
              <w:rPr>
                <w:color w:val="000000"/>
                <w:sz w:val="20"/>
                <w:szCs w:val="20"/>
              </w:rPr>
            </w:pPr>
            <w:r w:rsidRPr="006F4D00">
              <w:rPr>
                <w:color w:val="000000"/>
                <w:sz w:val="20"/>
                <w:szCs w:val="20"/>
              </w:rPr>
              <w:t xml:space="preserve"> Live animals chiefly for food (7)</w:t>
            </w:r>
          </w:p>
        </w:tc>
      </w:tr>
      <w:tr w:rsidR="008607AC" w:rsidRPr="006F4D00" w14:paraId="5F56F873" w14:textId="77777777" w:rsidTr="008607AC">
        <w:trPr>
          <w:trHeight w:val="300"/>
        </w:trPr>
        <w:tc>
          <w:tcPr>
            <w:tcW w:w="1300" w:type="dxa"/>
            <w:tcBorders>
              <w:top w:val="nil"/>
              <w:left w:val="nil"/>
              <w:bottom w:val="nil"/>
              <w:right w:val="nil"/>
            </w:tcBorders>
            <w:shd w:val="clear" w:color="auto" w:fill="auto"/>
            <w:noWrap/>
            <w:vAlign w:val="bottom"/>
            <w:hideMark/>
          </w:tcPr>
          <w:p w14:paraId="4EF69D51" w14:textId="77777777" w:rsidR="008607AC" w:rsidRPr="006F4D00" w:rsidRDefault="008607AC" w:rsidP="008607AC">
            <w:pPr>
              <w:rPr>
                <w:color w:val="000000"/>
                <w:sz w:val="20"/>
                <w:szCs w:val="20"/>
              </w:rPr>
            </w:pPr>
            <w:r w:rsidRPr="006F4D00">
              <w:rPr>
                <w:color w:val="000000"/>
                <w:sz w:val="20"/>
                <w:szCs w:val="20"/>
              </w:rPr>
              <w:t>01</w:t>
            </w:r>
          </w:p>
        </w:tc>
        <w:tc>
          <w:tcPr>
            <w:tcW w:w="6031" w:type="dxa"/>
            <w:tcBorders>
              <w:top w:val="nil"/>
              <w:left w:val="nil"/>
              <w:bottom w:val="nil"/>
              <w:right w:val="nil"/>
            </w:tcBorders>
            <w:shd w:val="clear" w:color="auto" w:fill="auto"/>
            <w:noWrap/>
            <w:vAlign w:val="bottom"/>
            <w:hideMark/>
          </w:tcPr>
          <w:p w14:paraId="65FE1420" w14:textId="77777777" w:rsidR="008607AC" w:rsidRPr="006F4D00" w:rsidRDefault="008607AC" w:rsidP="008607AC">
            <w:pPr>
              <w:rPr>
                <w:color w:val="000000"/>
                <w:sz w:val="20"/>
                <w:szCs w:val="20"/>
              </w:rPr>
            </w:pPr>
            <w:r w:rsidRPr="006F4D00">
              <w:rPr>
                <w:color w:val="000000"/>
                <w:sz w:val="20"/>
                <w:szCs w:val="20"/>
              </w:rPr>
              <w:t xml:space="preserve"> Meat and meat preparations (15)</w:t>
            </w:r>
          </w:p>
        </w:tc>
      </w:tr>
      <w:tr w:rsidR="008607AC" w:rsidRPr="006F4D00" w14:paraId="2DF86B7B" w14:textId="77777777" w:rsidTr="008607AC">
        <w:trPr>
          <w:trHeight w:val="300"/>
        </w:trPr>
        <w:tc>
          <w:tcPr>
            <w:tcW w:w="1300" w:type="dxa"/>
            <w:tcBorders>
              <w:top w:val="nil"/>
              <w:left w:val="nil"/>
              <w:bottom w:val="nil"/>
              <w:right w:val="nil"/>
            </w:tcBorders>
            <w:shd w:val="clear" w:color="auto" w:fill="auto"/>
            <w:noWrap/>
            <w:vAlign w:val="bottom"/>
            <w:hideMark/>
          </w:tcPr>
          <w:p w14:paraId="2686320A" w14:textId="77777777" w:rsidR="008607AC" w:rsidRPr="006F4D00" w:rsidRDefault="008607AC" w:rsidP="008607AC">
            <w:pPr>
              <w:rPr>
                <w:color w:val="000000"/>
                <w:sz w:val="20"/>
                <w:szCs w:val="20"/>
              </w:rPr>
            </w:pPr>
            <w:r w:rsidRPr="006F4D00">
              <w:rPr>
                <w:color w:val="000000"/>
                <w:sz w:val="20"/>
                <w:szCs w:val="20"/>
              </w:rPr>
              <w:t>02</w:t>
            </w:r>
          </w:p>
        </w:tc>
        <w:tc>
          <w:tcPr>
            <w:tcW w:w="6031" w:type="dxa"/>
            <w:tcBorders>
              <w:top w:val="nil"/>
              <w:left w:val="nil"/>
              <w:bottom w:val="nil"/>
              <w:right w:val="nil"/>
            </w:tcBorders>
            <w:shd w:val="clear" w:color="auto" w:fill="auto"/>
            <w:noWrap/>
            <w:vAlign w:val="bottom"/>
            <w:hideMark/>
          </w:tcPr>
          <w:p w14:paraId="053A7072" w14:textId="77777777" w:rsidR="008607AC" w:rsidRPr="006F4D00" w:rsidRDefault="008607AC" w:rsidP="008607AC">
            <w:pPr>
              <w:rPr>
                <w:color w:val="000000"/>
                <w:sz w:val="20"/>
                <w:szCs w:val="20"/>
              </w:rPr>
            </w:pPr>
            <w:r w:rsidRPr="006F4D00">
              <w:rPr>
                <w:color w:val="000000"/>
                <w:sz w:val="20"/>
                <w:szCs w:val="20"/>
              </w:rPr>
              <w:t xml:space="preserve"> Dairy products and birds' eggs (9) </w:t>
            </w:r>
          </w:p>
        </w:tc>
      </w:tr>
      <w:tr w:rsidR="008607AC" w:rsidRPr="006F4D00" w14:paraId="6009A3C2" w14:textId="77777777" w:rsidTr="008607AC">
        <w:trPr>
          <w:trHeight w:val="300"/>
        </w:trPr>
        <w:tc>
          <w:tcPr>
            <w:tcW w:w="1300" w:type="dxa"/>
            <w:tcBorders>
              <w:top w:val="nil"/>
              <w:left w:val="nil"/>
              <w:bottom w:val="nil"/>
              <w:right w:val="nil"/>
            </w:tcBorders>
            <w:shd w:val="clear" w:color="auto" w:fill="auto"/>
            <w:noWrap/>
            <w:vAlign w:val="bottom"/>
            <w:hideMark/>
          </w:tcPr>
          <w:p w14:paraId="2E400BA7" w14:textId="77777777" w:rsidR="008607AC" w:rsidRPr="006F4D00" w:rsidRDefault="008607AC" w:rsidP="008607AC">
            <w:pPr>
              <w:rPr>
                <w:color w:val="000000"/>
                <w:sz w:val="20"/>
                <w:szCs w:val="20"/>
              </w:rPr>
            </w:pPr>
            <w:r w:rsidRPr="006F4D00">
              <w:rPr>
                <w:color w:val="000000"/>
                <w:sz w:val="20"/>
                <w:szCs w:val="20"/>
              </w:rPr>
              <w:t>034</w:t>
            </w:r>
          </w:p>
        </w:tc>
        <w:tc>
          <w:tcPr>
            <w:tcW w:w="6031" w:type="dxa"/>
            <w:tcBorders>
              <w:top w:val="nil"/>
              <w:left w:val="nil"/>
              <w:bottom w:val="nil"/>
              <w:right w:val="nil"/>
            </w:tcBorders>
            <w:shd w:val="clear" w:color="auto" w:fill="auto"/>
            <w:noWrap/>
            <w:vAlign w:val="bottom"/>
            <w:hideMark/>
          </w:tcPr>
          <w:p w14:paraId="6A0BC175" w14:textId="77777777" w:rsidR="008607AC" w:rsidRPr="006F4D00" w:rsidRDefault="008607AC" w:rsidP="008607AC">
            <w:pPr>
              <w:rPr>
                <w:color w:val="000000"/>
                <w:sz w:val="20"/>
                <w:szCs w:val="20"/>
              </w:rPr>
            </w:pPr>
            <w:r w:rsidRPr="006F4D00">
              <w:rPr>
                <w:color w:val="000000"/>
                <w:sz w:val="20"/>
                <w:szCs w:val="20"/>
              </w:rPr>
              <w:t xml:space="preserve"> Fish, fresh (live or dead), chilled or frozen (5) </w:t>
            </w:r>
          </w:p>
        </w:tc>
      </w:tr>
      <w:tr w:rsidR="008607AC" w:rsidRPr="006F4D00" w14:paraId="7A41BAEF" w14:textId="77777777" w:rsidTr="008607AC">
        <w:trPr>
          <w:trHeight w:val="300"/>
        </w:trPr>
        <w:tc>
          <w:tcPr>
            <w:tcW w:w="1300" w:type="dxa"/>
            <w:tcBorders>
              <w:top w:val="nil"/>
              <w:left w:val="nil"/>
              <w:bottom w:val="nil"/>
              <w:right w:val="nil"/>
            </w:tcBorders>
            <w:shd w:val="clear" w:color="auto" w:fill="auto"/>
            <w:noWrap/>
            <w:vAlign w:val="bottom"/>
            <w:hideMark/>
          </w:tcPr>
          <w:p w14:paraId="6CDC25C9" w14:textId="77777777" w:rsidR="008607AC" w:rsidRPr="006F4D00" w:rsidRDefault="008607AC" w:rsidP="008607AC">
            <w:pPr>
              <w:rPr>
                <w:color w:val="000000"/>
                <w:sz w:val="20"/>
                <w:szCs w:val="20"/>
              </w:rPr>
            </w:pPr>
            <w:r w:rsidRPr="006F4D00">
              <w:rPr>
                <w:color w:val="000000"/>
                <w:sz w:val="20"/>
                <w:szCs w:val="20"/>
              </w:rPr>
              <w:t>036</w:t>
            </w:r>
          </w:p>
        </w:tc>
        <w:tc>
          <w:tcPr>
            <w:tcW w:w="6031" w:type="dxa"/>
            <w:tcBorders>
              <w:top w:val="nil"/>
              <w:left w:val="nil"/>
              <w:bottom w:val="nil"/>
              <w:right w:val="nil"/>
            </w:tcBorders>
            <w:shd w:val="clear" w:color="auto" w:fill="auto"/>
            <w:noWrap/>
            <w:vAlign w:val="bottom"/>
            <w:hideMark/>
          </w:tcPr>
          <w:p w14:paraId="54A287D4" w14:textId="77777777" w:rsidR="008607AC" w:rsidRPr="006F4D00" w:rsidRDefault="008607AC" w:rsidP="008607AC">
            <w:pPr>
              <w:rPr>
                <w:color w:val="000000"/>
                <w:sz w:val="20"/>
                <w:szCs w:val="20"/>
              </w:rPr>
            </w:pPr>
            <w:r w:rsidRPr="006F4D00">
              <w:rPr>
                <w:color w:val="000000"/>
                <w:sz w:val="20"/>
                <w:szCs w:val="20"/>
              </w:rPr>
              <w:t xml:space="preserve"> Crustaceans and molluscs, fresh, chilled, frozen etc. (1)</w:t>
            </w:r>
          </w:p>
        </w:tc>
      </w:tr>
      <w:tr w:rsidR="008607AC" w:rsidRPr="006F4D00" w14:paraId="39A6D2DA" w14:textId="77777777" w:rsidTr="008607AC">
        <w:trPr>
          <w:trHeight w:val="300"/>
        </w:trPr>
        <w:tc>
          <w:tcPr>
            <w:tcW w:w="1300" w:type="dxa"/>
            <w:tcBorders>
              <w:top w:val="nil"/>
              <w:left w:val="nil"/>
              <w:bottom w:val="nil"/>
              <w:right w:val="nil"/>
            </w:tcBorders>
            <w:shd w:val="clear" w:color="auto" w:fill="auto"/>
            <w:noWrap/>
            <w:vAlign w:val="bottom"/>
            <w:hideMark/>
          </w:tcPr>
          <w:p w14:paraId="46AD6ABE" w14:textId="77777777" w:rsidR="008607AC" w:rsidRPr="006F4D00" w:rsidRDefault="008607AC" w:rsidP="008607AC">
            <w:pPr>
              <w:rPr>
                <w:color w:val="000000"/>
                <w:sz w:val="20"/>
                <w:szCs w:val="20"/>
              </w:rPr>
            </w:pPr>
            <w:r w:rsidRPr="006F4D00">
              <w:rPr>
                <w:color w:val="000000"/>
                <w:sz w:val="20"/>
                <w:szCs w:val="20"/>
              </w:rPr>
              <w:t>041</w:t>
            </w:r>
          </w:p>
        </w:tc>
        <w:tc>
          <w:tcPr>
            <w:tcW w:w="6031" w:type="dxa"/>
            <w:tcBorders>
              <w:top w:val="nil"/>
              <w:left w:val="nil"/>
              <w:bottom w:val="nil"/>
              <w:right w:val="nil"/>
            </w:tcBorders>
            <w:shd w:val="clear" w:color="auto" w:fill="auto"/>
            <w:noWrap/>
            <w:vAlign w:val="bottom"/>
            <w:hideMark/>
          </w:tcPr>
          <w:p w14:paraId="05E4E80C" w14:textId="77777777" w:rsidR="008607AC" w:rsidRPr="006F4D00" w:rsidRDefault="008607AC" w:rsidP="008607AC">
            <w:pPr>
              <w:rPr>
                <w:color w:val="000000"/>
                <w:sz w:val="20"/>
                <w:szCs w:val="20"/>
              </w:rPr>
            </w:pPr>
            <w:r w:rsidRPr="006F4D00">
              <w:rPr>
                <w:color w:val="000000"/>
                <w:sz w:val="20"/>
                <w:szCs w:val="20"/>
              </w:rPr>
              <w:t xml:space="preserve"> Wheat (including spelt) and meslin, unmilled (3)</w:t>
            </w:r>
          </w:p>
        </w:tc>
      </w:tr>
      <w:tr w:rsidR="008607AC" w:rsidRPr="006F4D00" w14:paraId="64C26096" w14:textId="77777777" w:rsidTr="008607AC">
        <w:trPr>
          <w:trHeight w:val="300"/>
        </w:trPr>
        <w:tc>
          <w:tcPr>
            <w:tcW w:w="1300" w:type="dxa"/>
            <w:tcBorders>
              <w:top w:val="nil"/>
              <w:left w:val="nil"/>
              <w:bottom w:val="nil"/>
              <w:right w:val="nil"/>
            </w:tcBorders>
            <w:shd w:val="clear" w:color="auto" w:fill="auto"/>
            <w:noWrap/>
            <w:vAlign w:val="bottom"/>
            <w:hideMark/>
          </w:tcPr>
          <w:p w14:paraId="4FF3BB67" w14:textId="77777777" w:rsidR="008607AC" w:rsidRPr="006F4D00" w:rsidRDefault="008607AC" w:rsidP="008607AC">
            <w:pPr>
              <w:rPr>
                <w:color w:val="000000"/>
                <w:sz w:val="20"/>
                <w:szCs w:val="20"/>
              </w:rPr>
            </w:pPr>
            <w:r w:rsidRPr="006F4D00">
              <w:rPr>
                <w:color w:val="000000"/>
                <w:sz w:val="20"/>
                <w:szCs w:val="20"/>
              </w:rPr>
              <w:t>043</w:t>
            </w:r>
          </w:p>
        </w:tc>
        <w:tc>
          <w:tcPr>
            <w:tcW w:w="6031" w:type="dxa"/>
            <w:tcBorders>
              <w:top w:val="nil"/>
              <w:left w:val="nil"/>
              <w:bottom w:val="nil"/>
              <w:right w:val="nil"/>
            </w:tcBorders>
            <w:shd w:val="clear" w:color="auto" w:fill="auto"/>
            <w:noWrap/>
            <w:vAlign w:val="bottom"/>
            <w:hideMark/>
          </w:tcPr>
          <w:p w14:paraId="54693FD3" w14:textId="77777777" w:rsidR="008607AC" w:rsidRPr="006F4D00" w:rsidRDefault="008607AC" w:rsidP="008607AC">
            <w:pPr>
              <w:rPr>
                <w:color w:val="000000"/>
                <w:sz w:val="20"/>
                <w:szCs w:val="20"/>
              </w:rPr>
            </w:pPr>
            <w:r w:rsidRPr="006F4D00">
              <w:rPr>
                <w:color w:val="000000"/>
                <w:sz w:val="20"/>
                <w:szCs w:val="20"/>
              </w:rPr>
              <w:t xml:space="preserve"> Barley, unmilled (1)</w:t>
            </w:r>
          </w:p>
        </w:tc>
      </w:tr>
      <w:tr w:rsidR="008607AC" w:rsidRPr="006F4D00" w14:paraId="5692C2D9" w14:textId="77777777" w:rsidTr="008607AC">
        <w:trPr>
          <w:trHeight w:val="300"/>
        </w:trPr>
        <w:tc>
          <w:tcPr>
            <w:tcW w:w="1300" w:type="dxa"/>
            <w:tcBorders>
              <w:top w:val="nil"/>
              <w:left w:val="nil"/>
              <w:bottom w:val="nil"/>
              <w:right w:val="nil"/>
            </w:tcBorders>
            <w:shd w:val="clear" w:color="auto" w:fill="auto"/>
            <w:noWrap/>
            <w:vAlign w:val="bottom"/>
            <w:hideMark/>
          </w:tcPr>
          <w:p w14:paraId="100039A8" w14:textId="77777777" w:rsidR="008607AC" w:rsidRPr="006F4D00" w:rsidRDefault="008607AC" w:rsidP="008607AC">
            <w:pPr>
              <w:rPr>
                <w:color w:val="000000"/>
                <w:sz w:val="20"/>
                <w:szCs w:val="20"/>
              </w:rPr>
            </w:pPr>
            <w:r w:rsidRPr="006F4D00">
              <w:rPr>
                <w:color w:val="000000"/>
                <w:sz w:val="20"/>
                <w:szCs w:val="20"/>
              </w:rPr>
              <w:t>044</w:t>
            </w:r>
          </w:p>
        </w:tc>
        <w:tc>
          <w:tcPr>
            <w:tcW w:w="6031" w:type="dxa"/>
            <w:tcBorders>
              <w:top w:val="nil"/>
              <w:left w:val="nil"/>
              <w:bottom w:val="nil"/>
              <w:right w:val="nil"/>
            </w:tcBorders>
            <w:shd w:val="clear" w:color="auto" w:fill="auto"/>
            <w:noWrap/>
            <w:vAlign w:val="bottom"/>
            <w:hideMark/>
          </w:tcPr>
          <w:p w14:paraId="73B0895E" w14:textId="77777777" w:rsidR="008607AC" w:rsidRPr="006F4D00" w:rsidRDefault="008607AC" w:rsidP="008607AC">
            <w:pPr>
              <w:rPr>
                <w:color w:val="000000"/>
                <w:sz w:val="20"/>
                <w:szCs w:val="20"/>
              </w:rPr>
            </w:pPr>
            <w:r w:rsidRPr="006F4D00">
              <w:rPr>
                <w:color w:val="000000"/>
                <w:sz w:val="20"/>
                <w:szCs w:val="20"/>
              </w:rPr>
              <w:t xml:space="preserve"> Maize, unmilled (1)</w:t>
            </w:r>
          </w:p>
        </w:tc>
      </w:tr>
      <w:tr w:rsidR="008607AC" w:rsidRPr="006F4D00" w14:paraId="0F1D620F" w14:textId="77777777" w:rsidTr="008607AC">
        <w:trPr>
          <w:trHeight w:val="300"/>
        </w:trPr>
        <w:tc>
          <w:tcPr>
            <w:tcW w:w="1300" w:type="dxa"/>
            <w:tcBorders>
              <w:top w:val="nil"/>
              <w:left w:val="nil"/>
              <w:bottom w:val="nil"/>
              <w:right w:val="nil"/>
            </w:tcBorders>
            <w:shd w:val="clear" w:color="auto" w:fill="auto"/>
            <w:noWrap/>
            <w:vAlign w:val="bottom"/>
            <w:hideMark/>
          </w:tcPr>
          <w:p w14:paraId="5749E7A8" w14:textId="77777777" w:rsidR="008607AC" w:rsidRPr="006F4D00" w:rsidRDefault="008607AC" w:rsidP="008607AC">
            <w:pPr>
              <w:rPr>
                <w:color w:val="000000"/>
                <w:sz w:val="20"/>
                <w:szCs w:val="20"/>
              </w:rPr>
            </w:pPr>
            <w:r w:rsidRPr="006F4D00">
              <w:rPr>
                <w:color w:val="000000"/>
                <w:sz w:val="20"/>
                <w:szCs w:val="20"/>
              </w:rPr>
              <w:t>045</w:t>
            </w:r>
          </w:p>
        </w:tc>
        <w:tc>
          <w:tcPr>
            <w:tcW w:w="6031" w:type="dxa"/>
            <w:tcBorders>
              <w:top w:val="nil"/>
              <w:left w:val="nil"/>
              <w:bottom w:val="nil"/>
              <w:right w:val="nil"/>
            </w:tcBorders>
            <w:shd w:val="clear" w:color="auto" w:fill="auto"/>
            <w:noWrap/>
            <w:vAlign w:val="bottom"/>
            <w:hideMark/>
          </w:tcPr>
          <w:p w14:paraId="4948F64A" w14:textId="77777777" w:rsidR="008607AC" w:rsidRPr="006F4D00" w:rsidRDefault="008607AC" w:rsidP="008607AC">
            <w:pPr>
              <w:rPr>
                <w:color w:val="000000"/>
                <w:sz w:val="20"/>
                <w:szCs w:val="20"/>
              </w:rPr>
            </w:pPr>
            <w:r w:rsidRPr="006F4D00">
              <w:rPr>
                <w:color w:val="000000"/>
                <w:sz w:val="20"/>
                <w:szCs w:val="20"/>
              </w:rPr>
              <w:t xml:space="preserve"> Cereals, unmilled (no wheat, rice, barley or maize) (4)</w:t>
            </w:r>
          </w:p>
        </w:tc>
      </w:tr>
      <w:tr w:rsidR="008607AC" w:rsidRPr="006F4D00" w14:paraId="68A4219A" w14:textId="77777777" w:rsidTr="008607AC">
        <w:trPr>
          <w:trHeight w:val="300"/>
        </w:trPr>
        <w:tc>
          <w:tcPr>
            <w:tcW w:w="1300" w:type="dxa"/>
            <w:tcBorders>
              <w:top w:val="nil"/>
              <w:left w:val="nil"/>
              <w:bottom w:val="nil"/>
              <w:right w:val="nil"/>
            </w:tcBorders>
            <w:shd w:val="clear" w:color="auto" w:fill="auto"/>
            <w:noWrap/>
            <w:vAlign w:val="bottom"/>
            <w:hideMark/>
          </w:tcPr>
          <w:p w14:paraId="75477F83" w14:textId="77777777" w:rsidR="008607AC" w:rsidRPr="006F4D00" w:rsidRDefault="008607AC" w:rsidP="008607AC">
            <w:pPr>
              <w:rPr>
                <w:color w:val="000000"/>
                <w:sz w:val="20"/>
                <w:szCs w:val="20"/>
              </w:rPr>
            </w:pPr>
            <w:r w:rsidRPr="006F4D00">
              <w:rPr>
                <w:color w:val="000000"/>
                <w:sz w:val="20"/>
                <w:szCs w:val="20"/>
              </w:rPr>
              <w:t>054</w:t>
            </w:r>
          </w:p>
        </w:tc>
        <w:tc>
          <w:tcPr>
            <w:tcW w:w="6031" w:type="dxa"/>
            <w:tcBorders>
              <w:top w:val="nil"/>
              <w:left w:val="nil"/>
              <w:bottom w:val="nil"/>
              <w:right w:val="nil"/>
            </w:tcBorders>
            <w:shd w:val="clear" w:color="auto" w:fill="auto"/>
            <w:noWrap/>
            <w:vAlign w:val="bottom"/>
            <w:hideMark/>
          </w:tcPr>
          <w:p w14:paraId="52F3A8EB" w14:textId="77777777" w:rsidR="008607AC" w:rsidRPr="006F4D00" w:rsidRDefault="008607AC" w:rsidP="008607AC">
            <w:pPr>
              <w:rPr>
                <w:color w:val="000000"/>
                <w:sz w:val="20"/>
                <w:szCs w:val="20"/>
              </w:rPr>
            </w:pPr>
            <w:r w:rsidRPr="006F4D00">
              <w:rPr>
                <w:color w:val="000000"/>
                <w:sz w:val="20"/>
                <w:szCs w:val="20"/>
              </w:rPr>
              <w:t xml:space="preserve"> Vegetables, fresh, chilled, frozen/preserved; roots, tubers (7) </w:t>
            </w:r>
          </w:p>
        </w:tc>
      </w:tr>
      <w:tr w:rsidR="008607AC" w:rsidRPr="006F4D00" w14:paraId="55F90070" w14:textId="77777777" w:rsidTr="008607AC">
        <w:trPr>
          <w:trHeight w:val="300"/>
        </w:trPr>
        <w:tc>
          <w:tcPr>
            <w:tcW w:w="1300" w:type="dxa"/>
            <w:tcBorders>
              <w:top w:val="nil"/>
              <w:left w:val="nil"/>
              <w:bottom w:val="nil"/>
              <w:right w:val="nil"/>
            </w:tcBorders>
            <w:shd w:val="clear" w:color="auto" w:fill="auto"/>
            <w:noWrap/>
            <w:vAlign w:val="bottom"/>
            <w:hideMark/>
          </w:tcPr>
          <w:p w14:paraId="7BA9EFCD" w14:textId="77777777" w:rsidR="008607AC" w:rsidRPr="006F4D00" w:rsidRDefault="008607AC" w:rsidP="008607AC">
            <w:pPr>
              <w:rPr>
                <w:color w:val="000000"/>
                <w:sz w:val="20"/>
                <w:szCs w:val="20"/>
              </w:rPr>
            </w:pPr>
            <w:r w:rsidRPr="006F4D00">
              <w:rPr>
                <w:color w:val="000000"/>
                <w:sz w:val="20"/>
                <w:szCs w:val="20"/>
              </w:rPr>
              <w:t>057</w:t>
            </w:r>
          </w:p>
        </w:tc>
        <w:tc>
          <w:tcPr>
            <w:tcW w:w="6031" w:type="dxa"/>
            <w:tcBorders>
              <w:top w:val="nil"/>
              <w:left w:val="nil"/>
              <w:bottom w:val="nil"/>
              <w:right w:val="nil"/>
            </w:tcBorders>
            <w:shd w:val="clear" w:color="auto" w:fill="auto"/>
            <w:noWrap/>
            <w:vAlign w:val="bottom"/>
            <w:hideMark/>
          </w:tcPr>
          <w:p w14:paraId="41618A07" w14:textId="77777777" w:rsidR="008607AC" w:rsidRPr="006F4D00" w:rsidRDefault="008607AC" w:rsidP="008607AC">
            <w:pPr>
              <w:rPr>
                <w:color w:val="000000"/>
                <w:sz w:val="20"/>
                <w:szCs w:val="20"/>
              </w:rPr>
            </w:pPr>
            <w:r w:rsidRPr="006F4D00">
              <w:rPr>
                <w:color w:val="000000"/>
                <w:sz w:val="20"/>
                <w:szCs w:val="20"/>
              </w:rPr>
              <w:t xml:space="preserve"> Fruit &amp;  nuts (not including oil nuts), fresh or dried (9)</w:t>
            </w:r>
          </w:p>
        </w:tc>
      </w:tr>
      <w:tr w:rsidR="008607AC" w:rsidRPr="006F4D00" w14:paraId="35C3C006" w14:textId="77777777" w:rsidTr="008607AC">
        <w:trPr>
          <w:trHeight w:val="300"/>
        </w:trPr>
        <w:tc>
          <w:tcPr>
            <w:tcW w:w="1300" w:type="dxa"/>
            <w:tcBorders>
              <w:top w:val="nil"/>
              <w:left w:val="nil"/>
              <w:bottom w:val="nil"/>
              <w:right w:val="nil"/>
            </w:tcBorders>
            <w:shd w:val="clear" w:color="auto" w:fill="auto"/>
            <w:noWrap/>
            <w:vAlign w:val="bottom"/>
            <w:hideMark/>
          </w:tcPr>
          <w:p w14:paraId="4C92B6FB" w14:textId="77777777" w:rsidR="008607AC" w:rsidRPr="006F4D00" w:rsidRDefault="008607AC" w:rsidP="008607AC">
            <w:pPr>
              <w:rPr>
                <w:color w:val="000000"/>
                <w:sz w:val="20"/>
                <w:szCs w:val="20"/>
              </w:rPr>
            </w:pPr>
            <w:r w:rsidRPr="006F4D00">
              <w:rPr>
                <w:color w:val="000000"/>
                <w:sz w:val="20"/>
                <w:szCs w:val="20"/>
              </w:rPr>
              <w:t>245</w:t>
            </w:r>
          </w:p>
        </w:tc>
        <w:tc>
          <w:tcPr>
            <w:tcW w:w="6031" w:type="dxa"/>
            <w:tcBorders>
              <w:top w:val="nil"/>
              <w:left w:val="nil"/>
              <w:bottom w:val="nil"/>
              <w:right w:val="nil"/>
            </w:tcBorders>
            <w:shd w:val="clear" w:color="auto" w:fill="auto"/>
            <w:noWrap/>
            <w:vAlign w:val="bottom"/>
            <w:hideMark/>
          </w:tcPr>
          <w:p w14:paraId="3382A369" w14:textId="77777777" w:rsidR="008607AC" w:rsidRPr="006F4D00" w:rsidRDefault="008607AC" w:rsidP="008607AC">
            <w:pPr>
              <w:rPr>
                <w:color w:val="000000"/>
                <w:sz w:val="20"/>
                <w:szCs w:val="20"/>
              </w:rPr>
            </w:pPr>
            <w:r w:rsidRPr="006F4D00">
              <w:rPr>
                <w:color w:val="000000"/>
                <w:sz w:val="20"/>
                <w:szCs w:val="20"/>
              </w:rPr>
              <w:t xml:space="preserve"> Fuel wood (excluding wood waste) and wood charcoal (1)</w:t>
            </w:r>
          </w:p>
        </w:tc>
      </w:tr>
      <w:tr w:rsidR="008607AC" w:rsidRPr="006F4D00" w14:paraId="6446E971" w14:textId="77777777" w:rsidTr="008607AC">
        <w:trPr>
          <w:trHeight w:val="300"/>
        </w:trPr>
        <w:tc>
          <w:tcPr>
            <w:tcW w:w="1300" w:type="dxa"/>
            <w:tcBorders>
              <w:top w:val="nil"/>
              <w:left w:val="nil"/>
              <w:bottom w:val="nil"/>
              <w:right w:val="nil"/>
            </w:tcBorders>
            <w:shd w:val="clear" w:color="auto" w:fill="auto"/>
            <w:noWrap/>
            <w:vAlign w:val="bottom"/>
            <w:hideMark/>
          </w:tcPr>
          <w:p w14:paraId="31AA6798" w14:textId="77777777" w:rsidR="008607AC" w:rsidRPr="006F4D00" w:rsidRDefault="008607AC" w:rsidP="008607AC">
            <w:pPr>
              <w:rPr>
                <w:color w:val="000000"/>
                <w:sz w:val="20"/>
                <w:szCs w:val="20"/>
              </w:rPr>
            </w:pPr>
            <w:r w:rsidRPr="006F4D00">
              <w:rPr>
                <w:color w:val="000000"/>
                <w:sz w:val="20"/>
                <w:szCs w:val="20"/>
              </w:rPr>
              <w:t>247</w:t>
            </w:r>
          </w:p>
        </w:tc>
        <w:tc>
          <w:tcPr>
            <w:tcW w:w="6031" w:type="dxa"/>
            <w:tcBorders>
              <w:top w:val="nil"/>
              <w:left w:val="nil"/>
              <w:bottom w:val="nil"/>
              <w:right w:val="nil"/>
            </w:tcBorders>
            <w:shd w:val="clear" w:color="auto" w:fill="auto"/>
            <w:noWrap/>
            <w:vAlign w:val="bottom"/>
            <w:hideMark/>
          </w:tcPr>
          <w:p w14:paraId="7154FBA5" w14:textId="77777777" w:rsidR="008607AC" w:rsidRPr="006F4D00" w:rsidRDefault="008607AC" w:rsidP="008607AC">
            <w:pPr>
              <w:rPr>
                <w:color w:val="000000"/>
                <w:sz w:val="20"/>
                <w:szCs w:val="20"/>
              </w:rPr>
            </w:pPr>
            <w:r w:rsidRPr="006F4D00">
              <w:rPr>
                <w:color w:val="000000"/>
                <w:sz w:val="20"/>
                <w:szCs w:val="20"/>
              </w:rPr>
              <w:t xml:space="preserve"> Other wood in the rough or roughly squared (4)</w:t>
            </w:r>
          </w:p>
        </w:tc>
      </w:tr>
      <w:tr w:rsidR="008607AC" w:rsidRPr="006F4D00" w14:paraId="12AB5C07" w14:textId="77777777" w:rsidTr="008607AC">
        <w:trPr>
          <w:trHeight w:val="300"/>
        </w:trPr>
        <w:tc>
          <w:tcPr>
            <w:tcW w:w="1300" w:type="dxa"/>
            <w:tcBorders>
              <w:top w:val="nil"/>
              <w:left w:val="nil"/>
              <w:bottom w:val="nil"/>
              <w:right w:val="nil"/>
            </w:tcBorders>
            <w:shd w:val="clear" w:color="auto" w:fill="auto"/>
            <w:noWrap/>
            <w:vAlign w:val="bottom"/>
            <w:hideMark/>
          </w:tcPr>
          <w:p w14:paraId="0F7681AD" w14:textId="77777777" w:rsidR="008607AC" w:rsidRPr="006F4D00" w:rsidRDefault="008607AC" w:rsidP="008607AC">
            <w:pPr>
              <w:rPr>
                <w:color w:val="000000"/>
                <w:sz w:val="20"/>
                <w:szCs w:val="20"/>
              </w:rPr>
            </w:pPr>
            <w:r w:rsidRPr="006F4D00">
              <w:rPr>
                <w:color w:val="000000"/>
                <w:sz w:val="20"/>
                <w:szCs w:val="20"/>
              </w:rPr>
              <w:t>248</w:t>
            </w:r>
          </w:p>
        </w:tc>
        <w:tc>
          <w:tcPr>
            <w:tcW w:w="6031" w:type="dxa"/>
            <w:tcBorders>
              <w:top w:val="nil"/>
              <w:left w:val="nil"/>
              <w:bottom w:val="nil"/>
              <w:right w:val="nil"/>
            </w:tcBorders>
            <w:shd w:val="clear" w:color="auto" w:fill="auto"/>
            <w:noWrap/>
            <w:vAlign w:val="bottom"/>
            <w:hideMark/>
          </w:tcPr>
          <w:p w14:paraId="5059735B" w14:textId="77777777" w:rsidR="008607AC" w:rsidRPr="006F4D00" w:rsidRDefault="008607AC" w:rsidP="008607AC">
            <w:pPr>
              <w:rPr>
                <w:color w:val="000000"/>
                <w:sz w:val="20"/>
                <w:szCs w:val="20"/>
              </w:rPr>
            </w:pPr>
            <w:r w:rsidRPr="006F4D00">
              <w:rPr>
                <w:color w:val="000000"/>
                <w:sz w:val="20"/>
                <w:szCs w:val="20"/>
              </w:rPr>
              <w:t xml:space="preserve"> Wood, simply worked, and railway sleepers of wood (4) </w:t>
            </w:r>
          </w:p>
        </w:tc>
      </w:tr>
      <w:tr w:rsidR="008607AC" w:rsidRPr="006F4D00" w14:paraId="65202062" w14:textId="77777777" w:rsidTr="008607AC">
        <w:trPr>
          <w:trHeight w:val="300"/>
        </w:trPr>
        <w:tc>
          <w:tcPr>
            <w:tcW w:w="1300" w:type="dxa"/>
            <w:tcBorders>
              <w:top w:val="nil"/>
              <w:left w:val="nil"/>
              <w:bottom w:val="nil"/>
              <w:right w:val="nil"/>
            </w:tcBorders>
            <w:shd w:val="clear" w:color="auto" w:fill="auto"/>
            <w:noWrap/>
            <w:vAlign w:val="bottom"/>
            <w:hideMark/>
          </w:tcPr>
          <w:p w14:paraId="52F63695" w14:textId="77777777" w:rsidR="008607AC" w:rsidRPr="006F4D00" w:rsidRDefault="008607AC" w:rsidP="008607AC">
            <w:pPr>
              <w:rPr>
                <w:color w:val="000000"/>
                <w:sz w:val="20"/>
                <w:szCs w:val="20"/>
              </w:rPr>
            </w:pPr>
            <w:r w:rsidRPr="006F4D00">
              <w:rPr>
                <w:color w:val="000000"/>
                <w:sz w:val="20"/>
                <w:szCs w:val="20"/>
              </w:rPr>
              <w:t>271</w:t>
            </w:r>
          </w:p>
        </w:tc>
        <w:tc>
          <w:tcPr>
            <w:tcW w:w="6031" w:type="dxa"/>
            <w:tcBorders>
              <w:top w:val="nil"/>
              <w:left w:val="nil"/>
              <w:bottom w:val="nil"/>
              <w:right w:val="nil"/>
            </w:tcBorders>
            <w:shd w:val="clear" w:color="auto" w:fill="auto"/>
            <w:noWrap/>
            <w:vAlign w:val="bottom"/>
            <w:hideMark/>
          </w:tcPr>
          <w:p w14:paraId="4A98DB41" w14:textId="77777777" w:rsidR="008607AC" w:rsidRPr="006F4D00" w:rsidRDefault="008607AC" w:rsidP="008607AC">
            <w:pPr>
              <w:rPr>
                <w:color w:val="000000"/>
                <w:sz w:val="20"/>
                <w:szCs w:val="20"/>
              </w:rPr>
            </w:pPr>
            <w:r w:rsidRPr="006F4D00">
              <w:rPr>
                <w:color w:val="000000"/>
                <w:sz w:val="20"/>
                <w:szCs w:val="20"/>
              </w:rPr>
              <w:t xml:space="preserve"> Fertilizers, crude (5)</w:t>
            </w:r>
          </w:p>
        </w:tc>
      </w:tr>
      <w:tr w:rsidR="008607AC" w:rsidRPr="006F4D00" w14:paraId="044F3B72" w14:textId="77777777" w:rsidTr="008607AC">
        <w:trPr>
          <w:trHeight w:val="300"/>
        </w:trPr>
        <w:tc>
          <w:tcPr>
            <w:tcW w:w="1300" w:type="dxa"/>
            <w:tcBorders>
              <w:top w:val="nil"/>
              <w:left w:val="nil"/>
              <w:bottom w:val="nil"/>
              <w:right w:val="nil"/>
            </w:tcBorders>
            <w:shd w:val="clear" w:color="auto" w:fill="auto"/>
            <w:noWrap/>
            <w:vAlign w:val="bottom"/>
            <w:hideMark/>
          </w:tcPr>
          <w:p w14:paraId="1C872C4A" w14:textId="77777777" w:rsidR="008607AC" w:rsidRPr="006F4D00" w:rsidRDefault="008607AC" w:rsidP="008607AC">
            <w:pPr>
              <w:rPr>
                <w:color w:val="000000"/>
                <w:sz w:val="20"/>
                <w:szCs w:val="20"/>
              </w:rPr>
            </w:pPr>
            <w:r w:rsidRPr="006F4D00">
              <w:rPr>
                <w:color w:val="000000"/>
                <w:sz w:val="20"/>
                <w:szCs w:val="20"/>
              </w:rPr>
              <w:t>273</w:t>
            </w:r>
          </w:p>
        </w:tc>
        <w:tc>
          <w:tcPr>
            <w:tcW w:w="6031" w:type="dxa"/>
            <w:tcBorders>
              <w:top w:val="nil"/>
              <w:left w:val="nil"/>
              <w:bottom w:val="nil"/>
              <w:right w:val="nil"/>
            </w:tcBorders>
            <w:shd w:val="clear" w:color="auto" w:fill="auto"/>
            <w:noWrap/>
            <w:vAlign w:val="bottom"/>
            <w:hideMark/>
          </w:tcPr>
          <w:p w14:paraId="08BAE0D0" w14:textId="77777777" w:rsidR="008607AC" w:rsidRPr="006F4D00" w:rsidRDefault="008607AC" w:rsidP="008607AC">
            <w:pPr>
              <w:rPr>
                <w:color w:val="000000"/>
                <w:sz w:val="20"/>
                <w:szCs w:val="20"/>
              </w:rPr>
            </w:pPr>
            <w:r w:rsidRPr="006F4D00">
              <w:rPr>
                <w:color w:val="000000"/>
                <w:sz w:val="20"/>
                <w:szCs w:val="20"/>
              </w:rPr>
              <w:t xml:space="preserve"> Stone, sand and gravel (5)</w:t>
            </w:r>
          </w:p>
        </w:tc>
      </w:tr>
      <w:tr w:rsidR="008607AC" w:rsidRPr="006F4D00" w14:paraId="23E83D24" w14:textId="77777777" w:rsidTr="008607AC">
        <w:trPr>
          <w:trHeight w:val="300"/>
        </w:trPr>
        <w:tc>
          <w:tcPr>
            <w:tcW w:w="1300" w:type="dxa"/>
            <w:tcBorders>
              <w:top w:val="nil"/>
              <w:left w:val="nil"/>
              <w:bottom w:val="nil"/>
              <w:right w:val="nil"/>
            </w:tcBorders>
            <w:shd w:val="clear" w:color="auto" w:fill="auto"/>
            <w:noWrap/>
            <w:vAlign w:val="bottom"/>
            <w:hideMark/>
          </w:tcPr>
          <w:p w14:paraId="6EA83A83" w14:textId="77777777" w:rsidR="008607AC" w:rsidRPr="006F4D00" w:rsidRDefault="008607AC" w:rsidP="008607AC">
            <w:pPr>
              <w:rPr>
                <w:color w:val="000000"/>
                <w:sz w:val="20"/>
                <w:szCs w:val="20"/>
              </w:rPr>
            </w:pPr>
            <w:r w:rsidRPr="006F4D00">
              <w:rPr>
                <w:color w:val="000000"/>
                <w:sz w:val="20"/>
                <w:szCs w:val="20"/>
              </w:rPr>
              <w:t>274</w:t>
            </w:r>
          </w:p>
        </w:tc>
        <w:tc>
          <w:tcPr>
            <w:tcW w:w="6031" w:type="dxa"/>
            <w:tcBorders>
              <w:top w:val="nil"/>
              <w:left w:val="nil"/>
              <w:bottom w:val="nil"/>
              <w:right w:val="nil"/>
            </w:tcBorders>
            <w:shd w:val="clear" w:color="auto" w:fill="auto"/>
            <w:noWrap/>
            <w:vAlign w:val="bottom"/>
            <w:hideMark/>
          </w:tcPr>
          <w:p w14:paraId="46D992F9" w14:textId="77777777" w:rsidR="008607AC" w:rsidRPr="006F4D00" w:rsidRDefault="008607AC" w:rsidP="008607AC">
            <w:pPr>
              <w:rPr>
                <w:color w:val="000000"/>
                <w:sz w:val="20"/>
                <w:szCs w:val="20"/>
              </w:rPr>
            </w:pPr>
            <w:r w:rsidRPr="006F4D00">
              <w:rPr>
                <w:color w:val="000000"/>
                <w:sz w:val="20"/>
                <w:szCs w:val="20"/>
              </w:rPr>
              <w:t xml:space="preserve"> Sulphur and unroasted iron pyrites (3)</w:t>
            </w:r>
          </w:p>
        </w:tc>
      </w:tr>
      <w:tr w:rsidR="008607AC" w:rsidRPr="006F4D00" w14:paraId="22629903" w14:textId="77777777" w:rsidTr="008607AC">
        <w:trPr>
          <w:trHeight w:val="300"/>
        </w:trPr>
        <w:tc>
          <w:tcPr>
            <w:tcW w:w="1300" w:type="dxa"/>
            <w:tcBorders>
              <w:top w:val="nil"/>
              <w:left w:val="nil"/>
              <w:bottom w:val="nil"/>
              <w:right w:val="nil"/>
            </w:tcBorders>
            <w:shd w:val="clear" w:color="auto" w:fill="auto"/>
            <w:noWrap/>
            <w:vAlign w:val="bottom"/>
            <w:hideMark/>
          </w:tcPr>
          <w:p w14:paraId="1F7E4A06" w14:textId="77777777" w:rsidR="008607AC" w:rsidRPr="006F4D00" w:rsidRDefault="008607AC" w:rsidP="008607AC">
            <w:pPr>
              <w:rPr>
                <w:color w:val="000000"/>
                <w:sz w:val="20"/>
                <w:szCs w:val="20"/>
              </w:rPr>
            </w:pPr>
            <w:r w:rsidRPr="006F4D00">
              <w:rPr>
                <w:color w:val="000000"/>
                <w:sz w:val="20"/>
                <w:szCs w:val="20"/>
              </w:rPr>
              <w:t>278</w:t>
            </w:r>
          </w:p>
        </w:tc>
        <w:tc>
          <w:tcPr>
            <w:tcW w:w="6031" w:type="dxa"/>
            <w:tcBorders>
              <w:top w:val="nil"/>
              <w:left w:val="nil"/>
              <w:bottom w:val="nil"/>
              <w:right w:val="nil"/>
            </w:tcBorders>
            <w:shd w:val="clear" w:color="auto" w:fill="auto"/>
            <w:noWrap/>
            <w:vAlign w:val="bottom"/>
            <w:hideMark/>
          </w:tcPr>
          <w:p w14:paraId="4AEA87A5" w14:textId="77777777" w:rsidR="008607AC" w:rsidRPr="006F4D00" w:rsidRDefault="008607AC" w:rsidP="008607AC">
            <w:pPr>
              <w:rPr>
                <w:color w:val="000000"/>
                <w:sz w:val="20"/>
                <w:szCs w:val="20"/>
              </w:rPr>
            </w:pPr>
            <w:r w:rsidRPr="006F4D00">
              <w:rPr>
                <w:color w:val="000000"/>
                <w:sz w:val="20"/>
                <w:szCs w:val="20"/>
              </w:rPr>
              <w:t xml:space="preserve"> Other crude minerals (7)</w:t>
            </w:r>
          </w:p>
        </w:tc>
      </w:tr>
      <w:tr w:rsidR="008607AC" w:rsidRPr="006F4D00" w14:paraId="4F0A75E5" w14:textId="77777777" w:rsidTr="008607AC">
        <w:trPr>
          <w:trHeight w:val="300"/>
        </w:trPr>
        <w:tc>
          <w:tcPr>
            <w:tcW w:w="1300" w:type="dxa"/>
            <w:tcBorders>
              <w:top w:val="nil"/>
              <w:left w:val="nil"/>
              <w:bottom w:val="nil"/>
              <w:right w:val="nil"/>
            </w:tcBorders>
            <w:shd w:val="clear" w:color="auto" w:fill="auto"/>
            <w:noWrap/>
            <w:vAlign w:val="bottom"/>
            <w:hideMark/>
          </w:tcPr>
          <w:p w14:paraId="3B94DA49" w14:textId="77777777" w:rsidR="008607AC" w:rsidRPr="006F4D00" w:rsidRDefault="008607AC" w:rsidP="008607AC">
            <w:pPr>
              <w:rPr>
                <w:color w:val="000000"/>
                <w:sz w:val="20"/>
                <w:szCs w:val="20"/>
              </w:rPr>
            </w:pPr>
            <w:r w:rsidRPr="006F4D00">
              <w:rPr>
                <w:color w:val="000000"/>
                <w:sz w:val="20"/>
                <w:szCs w:val="20"/>
              </w:rPr>
              <w:t>281</w:t>
            </w:r>
          </w:p>
        </w:tc>
        <w:tc>
          <w:tcPr>
            <w:tcW w:w="6031" w:type="dxa"/>
            <w:tcBorders>
              <w:top w:val="nil"/>
              <w:left w:val="nil"/>
              <w:bottom w:val="nil"/>
              <w:right w:val="nil"/>
            </w:tcBorders>
            <w:shd w:val="clear" w:color="auto" w:fill="auto"/>
            <w:noWrap/>
            <w:vAlign w:val="bottom"/>
            <w:hideMark/>
          </w:tcPr>
          <w:p w14:paraId="58870653" w14:textId="77777777" w:rsidR="008607AC" w:rsidRPr="006F4D00" w:rsidRDefault="008607AC" w:rsidP="008607AC">
            <w:pPr>
              <w:rPr>
                <w:color w:val="000000"/>
                <w:sz w:val="20"/>
                <w:szCs w:val="20"/>
              </w:rPr>
            </w:pPr>
            <w:r w:rsidRPr="006F4D00">
              <w:rPr>
                <w:color w:val="000000"/>
                <w:sz w:val="20"/>
                <w:szCs w:val="20"/>
              </w:rPr>
              <w:t xml:space="preserve"> Iron ore and concentrates (4)</w:t>
            </w:r>
          </w:p>
        </w:tc>
      </w:tr>
      <w:tr w:rsidR="008607AC" w:rsidRPr="006F4D00" w14:paraId="01213DE3" w14:textId="77777777" w:rsidTr="008607AC">
        <w:trPr>
          <w:trHeight w:val="300"/>
        </w:trPr>
        <w:tc>
          <w:tcPr>
            <w:tcW w:w="1300" w:type="dxa"/>
            <w:tcBorders>
              <w:top w:val="nil"/>
              <w:left w:val="nil"/>
              <w:bottom w:val="nil"/>
              <w:right w:val="nil"/>
            </w:tcBorders>
            <w:shd w:val="clear" w:color="auto" w:fill="auto"/>
            <w:noWrap/>
            <w:vAlign w:val="bottom"/>
            <w:hideMark/>
          </w:tcPr>
          <w:p w14:paraId="5F59A091" w14:textId="77777777" w:rsidR="008607AC" w:rsidRPr="006F4D00" w:rsidRDefault="008607AC" w:rsidP="008607AC">
            <w:pPr>
              <w:rPr>
                <w:color w:val="000000"/>
                <w:sz w:val="20"/>
                <w:szCs w:val="20"/>
              </w:rPr>
            </w:pPr>
            <w:r w:rsidRPr="006F4D00">
              <w:rPr>
                <w:color w:val="000000"/>
                <w:sz w:val="20"/>
                <w:szCs w:val="20"/>
              </w:rPr>
              <w:t>282</w:t>
            </w:r>
          </w:p>
        </w:tc>
        <w:tc>
          <w:tcPr>
            <w:tcW w:w="6031" w:type="dxa"/>
            <w:tcBorders>
              <w:top w:val="nil"/>
              <w:left w:val="nil"/>
              <w:bottom w:val="nil"/>
              <w:right w:val="nil"/>
            </w:tcBorders>
            <w:shd w:val="clear" w:color="auto" w:fill="auto"/>
            <w:noWrap/>
            <w:vAlign w:val="bottom"/>
            <w:hideMark/>
          </w:tcPr>
          <w:p w14:paraId="0C71B45E" w14:textId="77777777" w:rsidR="008607AC" w:rsidRPr="006F4D00" w:rsidRDefault="008607AC" w:rsidP="008607AC">
            <w:pPr>
              <w:rPr>
                <w:color w:val="000000"/>
                <w:sz w:val="20"/>
                <w:szCs w:val="20"/>
              </w:rPr>
            </w:pPr>
            <w:r w:rsidRPr="006F4D00">
              <w:rPr>
                <w:color w:val="000000"/>
                <w:sz w:val="20"/>
                <w:szCs w:val="20"/>
              </w:rPr>
              <w:t xml:space="preserve"> Waste and scrap metal of iron or steel (2)</w:t>
            </w:r>
          </w:p>
        </w:tc>
      </w:tr>
      <w:tr w:rsidR="008D41D7" w:rsidRPr="006F4D00" w14:paraId="2E082744" w14:textId="77777777" w:rsidTr="008607AC">
        <w:trPr>
          <w:trHeight w:val="300"/>
        </w:trPr>
        <w:tc>
          <w:tcPr>
            <w:tcW w:w="1300" w:type="dxa"/>
            <w:tcBorders>
              <w:top w:val="nil"/>
              <w:left w:val="nil"/>
              <w:bottom w:val="nil"/>
              <w:right w:val="nil"/>
            </w:tcBorders>
            <w:shd w:val="clear" w:color="auto" w:fill="auto"/>
            <w:noWrap/>
            <w:vAlign w:val="bottom"/>
          </w:tcPr>
          <w:p w14:paraId="734FE8BB" w14:textId="77777777" w:rsidR="008D41D7" w:rsidRPr="006F4D00" w:rsidRDefault="008D41D7" w:rsidP="003B3AB6">
            <w:pPr>
              <w:rPr>
                <w:color w:val="000000"/>
                <w:sz w:val="20"/>
                <w:szCs w:val="20"/>
              </w:rPr>
            </w:pPr>
            <w:r w:rsidRPr="006F4D00">
              <w:rPr>
                <w:color w:val="000000"/>
                <w:sz w:val="20"/>
                <w:szCs w:val="20"/>
              </w:rPr>
              <w:t>287</w:t>
            </w:r>
          </w:p>
        </w:tc>
        <w:tc>
          <w:tcPr>
            <w:tcW w:w="6031" w:type="dxa"/>
            <w:tcBorders>
              <w:top w:val="nil"/>
              <w:left w:val="nil"/>
              <w:bottom w:val="nil"/>
              <w:right w:val="nil"/>
            </w:tcBorders>
            <w:shd w:val="clear" w:color="auto" w:fill="auto"/>
            <w:noWrap/>
            <w:vAlign w:val="bottom"/>
          </w:tcPr>
          <w:p w14:paraId="5BA041C6" w14:textId="77777777" w:rsidR="008D41D7" w:rsidRPr="006F4D00" w:rsidRDefault="008D41D7" w:rsidP="003B3AB6">
            <w:pPr>
              <w:rPr>
                <w:color w:val="000000"/>
                <w:sz w:val="20"/>
                <w:szCs w:val="20"/>
              </w:rPr>
            </w:pPr>
            <w:r w:rsidRPr="006F4D00">
              <w:rPr>
                <w:color w:val="000000"/>
                <w:sz w:val="20"/>
                <w:szCs w:val="20"/>
              </w:rPr>
              <w:t xml:space="preserve"> Ores and concentrates of base metals, n.e.s. (9)</w:t>
            </w:r>
          </w:p>
        </w:tc>
      </w:tr>
      <w:tr w:rsidR="008D41D7" w:rsidRPr="006F4D00" w14:paraId="41C19D9D" w14:textId="77777777" w:rsidTr="008D41D7">
        <w:trPr>
          <w:trHeight w:val="283"/>
        </w:trPr>
        <w:tc>
          <w:tcPr>
            <w:tcW w:w="1300" w:type="dxa"/>
            <w:tcBorders>
              <w:top w:val="nil"/>
              <w:left w:val="nil"/>
              <w:bottom w:val="nil"/>
              <w:right w:val="nil"/>
            </w:tcBorders>
            <w:shd w:val="clear" w:color="auto" w:fill="auto"/>
            <w:noWrap/>
            <w:vAlign w:val="bottom"/>
          </w:tcPr>
          <w:p w14:paraId="09D7297B" w14:textId="77777777" w:rsidR="008D41D7" w:rsidRPr="006F4D00" w:rsidRDefault="008D41D7" w:rsidP="008607AC">
            <w:pPr>
              <w:rPr>
                <w:color w:val="000000"/>
                <w:sz w:val="20"/>
                <w:szCs w:val="20"/>
              </w:rPr>
            </w:pPr>
          </w:p>
        </w:tc>
        <w:tc>
          <w:tcPr>
            <w:tcW w:w="6031" w:type="dxa"/>
            <w:tcBorders>
              <w:top w:val="nil"/>
              <w:left w:val="nil"/>
              <w:bottom w:val="nil"/>
              <w:right w:val="nil"/>
            </w:tcBorders>
            <w:shd w:val="clear" w:color="auto" w:fill="auto"/>
            <w:noWrap/>
            <w:vAlign w:val="bottom"/>
          </w:tcPr>
          <w:p w14:paraId="1E5F1BFE" w14:textId="77777777" w:rsidR="008D41D7" w:rsidRPr="006F4D00" w:rsidRDefault="008D41D7" w:rsidP="008607AC">
            <w:pPr>
              <w:rPr>
                <w:color w:val="000000"/>
                <w:sz w:val="20"/>
                <w:szCs w:val="20"/>
              </w:rPr>
            </w:pPr>
          </w:p>
        </w:tc>
      </w:tr>
      <w:tr w:rsidR="008D41D7" w:rsidRPr="006F4D00" w14:paraId="2C1486C1" w14:textId="77777777" w:rsidTr="008D41D7">
        <w:trPr>
          <w:trHeight w:val="423"/>
        </w:trPr>
        <w:tc>
          <w:tcPr>
            <w:tcW w:w="1300" w:type="dxa"/>
            <w:tcBorders>
              <w:top w:val="nil"/>
              <w:left w:val="nil"/>
              <w:bottom w:val="nil"/>
              <w:right w:val="nil"/>
            </w:tcBorders>
            <w:shd w:val="clear" w:color="auto" w:fill="auto"/>
            <w:noWrap/>
            <w:vAlign w:val="bottom"/>
            <w:hideMark/>
          </w:tcPr>
          <w:p w14:paraId="3BC86EAC" w14:textId="77777777" w:rsidR="008D41D7" w:rsidRPr="006F4D00" w:rsidRDefault="008D41D7" w:rsidP="008607AC">
            <w:pPr>
              <w:rPr>
                <w:color w:val="000000"/>
                <w:sz w:val="20"/>
                <w:szCs w:val="20"/>
              </w:rPr>
            </w:pPr>
            <w:r w:rsidRPr="006F4D00">
              <w:rPr>
                <w:color w:val="000000"/>
                <w:sz w:val="20"/>
                <w:szCs w:val="20"/>
              </w:rPr>
              <w:lastRenderedPageBreak/>
              <w:t>288</w:t>
            </w:r>
          </w:p>
        </w:tc>
        <w:tc>
          <w:tcPr>
            <w:tcW w:w="6031" w:type="dxa"/>
            <w:tcBorders>
              <w:top w:val="nil"/>
              <w:left w:val="nil"/>
              <w:bottom w:val="nil"/>
              <w:right w:val="nil"/>
            </w:tcBorders>
            <w:shd w:val="clear" w:color="auto" w:fill="auto"/>
            <w:noWrap/>
            <w:vAlign w:val="bottom"/>
            <w:hideMark/>
          </w:tcPr>
          <w:p w14:paraId="134A7FC6" w14:textId="77777777" w:rsidR="008D41D7" w:rsidRPr="006F4D00" w:rsidRDefault="008D41D7" w:rsidP="008607AC">
            <w:pPr>
              <w:rPr>
                <w:color w:val="000000"/>
                <w:sz w:val="20"/>
                <w:szCs w:val="20"/>
              </w:rPr>
            </w:pPr>
            <w:r w:rsidRPr="006F4D00">
              <w:rPr>
                <w:color w:val="000000"/>
                <w:sz w:val="20"/>
                <w:szCs w:val="20"/>
              </w:rPr>
              <w:t xml:space="preserve"> Non-ferrous base metal waste and scrap, n.e.s. (3)</w:t>
            </w:r>
          </w:p>
        </w:tc>
      </w:tr>
      <w:tr w:rsidR="008D41D7" w:rsidRPr="006F4D00" w14:paraId="53773364" w14:textId="77777777" w:rsidTr="008607AC">
        <w:trPr>
          <w:trHeight w:val="300"/>
        </w:trPr>
        <w:tc>
          <w:tcPr>
            <w:tcW w:w="1300" w:type="dxa"/>
            <w:tcBorders>
              <w:top w:val="nil"/>
              <w:left w:val="nil"/>
              <w:bottom w:val="nil"/>
              <w:right w:val="nil"/>
            </w:tcBorders>
            <w:shd w:val="clear" w:color="auto" w:fill="auto"/>
            <w:noWrap/>
            <w:vAlign w:val="bottom"/>
            <w:hideMark/>
          </w:tcPr>
          <w:p w14:paraId="2A8259F4" w14:textId="77777777" w:rsidR="008D41D7" w:rsidRPr="006F4D00" w:rsidRDefault="008D41D7" w:rsidP="008607AC">
            <w:pPr>
              <w:rPr>
                <w:color w:val="000000"/>
                <w:sz w:val="20"/>
                <w:szCs w:val="20"/>
              </w:rPr>
            </w:pPr>
            <w:r w:rsidRPr="006F4D00">
              <w:rPr>
                <w:color w:val="000000"/>
                <w:sz w:val="20"/>
                <w:szCs w:val="20"/>
              </w:rPr>
              <w:t>289</w:t>
            </w:r>
          </w:p>
        </w:tc>
        <w:tc>
          <w:tcPr>
            <w:tcW w:w="6031" w:type="dxa"/>
            <w:tcBorders>
              <w:top w:val="nil"/>
              <w:left w:val="nil"/>
              <w:bottom w:val="nil"/>
              <w:right w:val="nil"/>
            </w:tcBorders>
            <w:shd w:val="clear" w:color="auto" w:fill="auto"/>
            <w:noWrap/>
            <w:vAlign w:val="bottom"/>
            <w:hideMark/>
          </w:tcPr>
          <w:p w14:paraId="65C1B630" w14:textId="77777777" w:rsidR="008D41D7" w:rsidRPr="006F4D00" w:rsidRDefault="008D41D7" w:rsidP="008607AC">
            <w:pPr>
              <w:rPr>
                <w:color w:val="000000"/>
                <w:sz w:val="20"/>
                <w:szCs w:val="20"/>
              </w:rPr>
            </w:pPr>
            <w:r w:rsidRPr="006F4D00">
              <w:rPr>
                <w:color w:val="000000"/>
                <w:sz w:val="20"/>
                <w:szCs w:val="20"/>
              </w:rPr>
              <w:t xml:space="preserve"> Ores &amp;  concentrates of precious metals; waste, scrap (1)</w:t>
            </w:r>
          </w:p>
        </w:tc>
      </w:tr>
      <w:tr w:rsidR="008D41D7" w:rsidRPr="006F4D00" w14:paraId="2683CD5D" w14:textId="77777777" w:rsidTr="008607AC">
        <w:trPr>
          <w:trHeight w:val="300"/>
        </w:trPr>
        <w:tc>
          <w:tcPr>
            <w:tcW w:w="1300" w:type="dxa"/>
            <w:tcBorders>
              <w:top w:val="nil"/>
              <w:left w:val="nil"/>
              <w:bottom w:val="nil"/>
              <w:right w:val="nil"/>
            </w:tcBorders>
            <w:shd w:val="clear" w:color="auto" w:fill="auto"/>
            <w:noWrap/>
            <w:vAlign w:val="bottom"/>
            <w:hideMark/>
          </w:tcPr>
          <w:p w14:paraId="1EFB6902" w14:textId="77777777" w:rsidR="008D41D7" w:rsidRPr="006F4D00" w:rsidRDefault="008D41D7" w:rsidP="008607AC">
            <w:pPr>
              <w:rPr>
                <w:color w:val="000000"/>
                <w:sz w:val="20"/>
                <w:szCs w:val="20"/>
              </w:rPr>
            </w:pPr>
            <w:r w:rsidRPr="006F4D00">
              <w:rPr>
                <w:color w:val="000000"/>
                <w:sz w:val="20"/>
                <w:szCs w:val="20"/>
              </w:rPr>
              <w:t>292</w:t>
            </w:r>
          </w:p>
        </w:tc>
        <w:tc>
          <w:tcPr>
            <w:tcW w:w="6031" w:type="dxa"/>
            <w:tcBorders>
              <w:top w:val="nil"/>
              <w:left w:val="nil"/>
              <w:bottom w:val="nil"/>
              <w:right w:val="nil"/>
            </w:tcBorders>
            <w:shd w:val="clear" w:color="auto" w:fill="auto"/>
            <w:noWrap/>
            <w:vAlign w:val="bottom"/>
            <w:hideMark/>
          </w:tcPr>
          <w:p w14:paraId="2DF837DC" w14:textId="77777777" w:rsidR="008D41D7" w:rsidRPr="006F4D00" w:rsidRDefault="008D41D7" w:rsidP="008607AC">
            <w:pPr>
              <w:rPr>
                <w:color w:val="000000"/>
                <w:sz w:val="20"/>
                <w:szCs w:val="20"/>
              </w:rPr>
            </w:pPr>
            <w:r w:rsidRPr="006F4D00">
              <w:rPr>
                <w:color w:val="000000"/>
                <w:sz w:val="20"/>
                <w:szCs w:val="20"/>
              </w:rPr>
              <w:t xml:space="preserve"> Crude vegetable materials, n.e.s. (8)</w:t>
            </w:r>
          </w:p>
        </w:tc>
      </w:tr>
      <w:tr w:rsidR="008D41D7" w:rsidRPr="006F4D00" w14:paraId="11D41509" w14:textId="77777777" w:rsidTr="008607AC">
        <w:trPr>
          <w:trHeight w:val="300"/>
        </w:trPr>
        <w:tc>
          <w:tcPr>
            <w:tcW w:w="1300" w:type="dxa"/>
            <w:tcBorders>
              <w:top w:val="nil"/>
              <w:left w:val="nil"/>
              <w:bottom w:val="nil"/>
              <w:right w:val="nil"/>
            </w:tcBorders>
            <w:shd w:val="clear" w:color="auto" w:fill="auto"/>
            <w:noWrap/>
            <w:vAlign w:val="bottom"/>
            <w:hideMark/>
          </w:tcPr>
          <w:p w14:paraId="296A257B" w14:textId="77777777" w:rsidR="008D41D7" w:rsidRPr="006F4D00" w:rsidRDefault="008D41D7" w:rsidP="008607AC">
            <w:pPr>
              <w:rPr>
                <w:color w:val="000000"/>
                <w:sz w:val="20"/>
                <w:szCs w:val="20"/>
              </w:rPr>
            </w:pPr>
            <w:r w:rsidRPr="006F4D00">
              <w:rPr>
                <w:color w:val="000000"/>
                <w:sz w:val="20"/>
                <w:szCs w:val="20"/>
              </w:rPr>
              <w:t>3</w:t>
            </w:r>
          </w:p>
        </w:tc>
        <w:tc>
          <w:tcPr>
            <w:tcW w:w="6031" w:type="dxa"/>
            <w:tcBorders>
              <w:top w:val="nil"/>
              <w:left w:val="nil"/>
              <w:bottom w:val="nil"/>
              <w:right w:val="nil"/>
            </w:tcBorders>
            <w:shd w:val="clear" w:color="auto" w:fill="auto"/>
            <w:noWrap/>
            <w:vAlign w:val="bottom"/>
            <w:hideMark/>
          </w:tcPr>
          <w:p w14:paraId="682C981A" w14:textId="77777777" w:rsidR="008D41D7" w:rsidRPr="006F4D00" w:rsidRDefault="008D41D7" w:rsidP="008607AC">
            <w:pPr>
              <w:rPr>
                <w:color w:val="000000"/>
                <w:sz w:val="20"/>
                <w:szCs w:val="20"/>
              </w:rPr>
            </w:pPr>
            <w:r w:rsidRPr="006F4D00">
              <w:rPr>
                <w:color w:val="000000"/>
                <w:sz w:val="20"/>
                <w:szCs w:val="20"/>
              </w:rPr>
              <w:t xml:space="preserve"> Mineral fuels, lubricants and related materials (25)</w:t>
            </w:r>
          </w:p>
        </w:tc>
      </w:tr>
      <w:tr w:rsidR="008D41D7" w:rsidRPr="006F4D00" w14:paraId="23057887" w14:textId="77777777" w:rsidTr="008607AC">
        <w:trPr>
          <w:trHeight w:val="300"/>
        </w:trPr>
        <w:tc>
          <w:tcPr>
            <w:tcW w:w="1300" w:type="dxa"/>
            <w:tcBorders>
              <w:top w:val="nil"/>
              <w:left w:val="nil"/>
              <w:bottom w:val="nil"/>
              <w:right w:val="nil"/>
            </w:tcBorders>
            <w:shd w:val="clear" w:color="auto" w:fill="auto"/>
            <w:noWrap/>
            <w:vAlign w:val="bottom"/>
            <w:hideMark/>
          </w:tcPr>
          <w:p w14:paraId="1037A9DA" w14:textId="77777777" w:rsidR="008D41D7" w:rsidRPr="006F4D00" w:rsidRDefault="008D41D7" w:rsidP="008607AC">
            <w:pPr>
              <w:rPr>
                <w:color w:val="000000"/>
                <w:sz w:val="20"/>
                <w:szCs w:val="20"/>
              </w:rPr>
            </w:pPr>
            <w:r w:rsidRPr="006F4D00">
              <w:rPr>
                <w:color w:val="000000"/>
                <w:sz w:val="20"/>
                <w:szCs w:val="20"/>
              </w:rPr>
              <w:t>51</w:t>
            </w:r>
          </w:p>
        </w:tc>
        <w:tc>
          <w:tcPr>
            <w:tcW w:w="6031" w:type="dxa"/>
            <w:tcBorders>
              <w:top w:val="nil"/>
              <w:left w:val="nil"/>
              <w:bottom w:val="nil"/>
              <w:right w:val="nil"/>
            </w:tcBorders>
            <w:shd w:val="clear" w:color="auto" w:fill="auto"/>
            <w:noWrap/>
            <w:vAlign w:val="bottom"/>
            <w:hideMark/>
          </w:tcPr>
          <w:p w14:paraId="427BD0C9" w14:textId="77777777" w:rsidR="008D41D7" w:rsidRPr="006F4D00" w:rsidRDefault="008D41D7" w:rsidP="008607AC">
            <w:pPr>
              <w:rPr>
                <w:color w:val="000000"/>
                <w:sz w:val="20"/>
                <w:szCs w:val="20"/>
              </w:rPr>
            </w:pPr>
            <w:r w:rsidRPr="006F4D00">
              <w:rPr>
                <w:color w:val="000000"/>
                <w:sz w:val="20"/>
                <w:szCs w:val="20"/>
              </w:rPr>
              <w:t xml:space="preserve"> Organic chemicals (29) </w:t>
            </w:r>
          </w:p>
        </w:tc>
      </w:tr>
      <w:tr w:rsidR="008D41D7" w:rsidRPr="006F4D00" w14:paraId="268C7BB2" w14:textId="77777777" w:rsidTr="008607AC">
        <w:trPr>
          <w:trHeight w:val="300"/>
        </w:trPr>
        <w:tc>
          <w:tcPr>
            <w:tcW w:w="1300" w:type="dxa"/>
            <w:tcBorders>
              <w:top w:val="nil"/>
              <w:left w:val="nil"/>
              <w:bottom w:val="nil"/>
              <w:right w:val="nil"/>
            </w:tcBorders>
            <w:shd w:val="clear" w:color="auto" w:fill="auto"/>
            <w:noWrap/>
            <w:vAlign w:val="bottom"/>
            <w:hideMark/>
          </w:tcPr>
          <w:p w14:paraId="23ED8DCA" w14:textId="77777777" w:rsidR="008D41D7" w:rsidRPr="006F4D00" w:rsidRDefault="008D41D7" w:rsidP="008607AC">
            <w:pPr>
              <w:rPr>
                <w:color w:val="000000"/>
                <w:sz w:val="20"/>
                <w:szCs w:val="20"/>
              </w:rPr>
            </w:pPr>
            <w:r w:rsidRPr="006F4D00">
              <w:rPr>
                <w:color w:val="000000"/>
                <w:sz w:val="20"/>
                <w:szCs w:val="20"/>
              </w:rPr>
              <w:t>52</w:t>
            </w:r>
          </w:p>
        </w:tc>
        <w:tc>
          <w:tcPr>
            <w:tcW w:w="6031" w:type="dxa"/>
            <w:tcBorders>
              <w:top w:val="nil"/>
              <w:left w:val="nil"/>
              <w:bottom w:val="nil"/>
              <w:right w:val="nil"/>
            </w:tcBorders>
            <w:shd w:val="clear" w:color="auto" w:fill="auto"/>
            <w:noWrap/>
            <w:vAlign w:val="bottom"/>
            <w:hideMark/>
          </w:tcPr>
          <w:p w14:paraId="6B654171" w14:textId="77777777" w:rsidR="008D41D7" w:rsidRPr="006F4D00" w:rsidRDefault="008D41D7" w:rsidP="008607AC">
            <w:pPr>
              <w:rPr>
                <w:color w:val="000000"/>
                <w:sz w:val="20"/>
                <w:szCs w:val="20"/>
              </w:rPr>
            </w:pPr>
            <w:r w:rsidRPr="006F4D00">
              <w:rPr>
                <w:color w:val="000000"/>
                <w:sz w:val="20"/>
                <w:szCs w:val="20"/>
              </w:rPr>
              <w:t xml:space="preserve"> Inorganic chemicals (14) </w:t>
            </w:r>
          </w:p>
        </w:tc>
      </w:tr>
      <w:tr w:rsidR="008D41D7" w:rsidRPr="006F4D00" w14:paraId="0DBD57FE" w14:textId="77777777" w:rsidTr="008607AC">
        <w:trPr>
          <w:trHeight w:val="300"/>
        </w:trPr>
        <w:tc>
          <w:tcPr>
            <w:tcW w:w="1300" w:type="dxa"/>
            <w:tcBorders>
              <w:top w:val="nil"/>
              <w:left w:val="nil"/>
              <w:bottom w:val="nil"/>
              <w:right w:val="nil"/>
            </w:tcBorders>
            <w:shd w:val="clear" w:color="auto" w:fill="auto"/>
            <w:noWrap/>
            <w:vAlign w:val="bottom"/>
            <w:hideMark/>
          </w:tcPr>
          <w:p w14:paraId="76722803" w14:textId="77777777" w:rsidR="008D41D7" w:rsidRPr="006F4D00" w:rsidRDefault="008D41D7" w:rsidP="008607AC">
            <w:pPr>
              <w:rPr>
                <w:color w:val="000000"/>
                <w:sz w:val="20"/>
                <w:szCs w:val="20"/>
              </w:rPr>
            </w:pPr>
            <w:r w:rsidRPr="006F4D00">
              <w:rPr>
                <w:color w:val="000000"/>
                <w:sz w:val="20"/>
                <w:szCs w:val="20"/>
              </w:rPr>
              <w:t>56</w:t>
            </w:r>
          </w:p>
        </w:tc>
        <w:tc>
          <w:tcPr>
            <w:tcW w:w="6031" w:type="dxa"/>
            <w:tcBorders>
              <w:top w:val="nil"/>
              <w:left w:val="nil"/>
              <w:bottom w:val="nil"/>
              <w:right w:val="nil"/>
            </w:tcBorders>
            <w:shd w:val="clear" w:color="auto" w:fill="auto"/>
            <w:noWrap/>
            <w:vAlign w:val="bottom"/>
            <w:hideMark/>
          </w:tcPr>
          <w:p w14:paraId="1475FED1" w14:textId="77777777" w:rsidR="008D41D7" w:rsidRPr="006F4D00" w:rsidRDefault="008D41D7" w:rsidP="008607AC">
            <w:pPr>
              <w:rPr>
                <w:color w:val="000000"/>
                <w:sz w:val="20"/>
                <w:szCs w:val="20"/>
              </w:rPr>
            </w:pPr>
            <w:r w:rsidRPr="006F4D00">
              <w:rPr>
                <w:color w:val="000000"/>
                <w:sz w:val="20"/>
                <w:szCs w:val="20"/>
              </w:rPr>
              <w:t xml:space="preserve"> Fertilizers, manufactured (5)</w:t>
            </w:r>
          </w:p>
        </w:tc>
      </w:tr>
      <w:tr w:rsidR="008D41D7" w:rsidRPr="006F4D00" w14:paraId="21C1CEAE" w14:textId="77777777" w:rsidTr="008607AC">
        <w:trPr>
          <w:trHeight w:val="300"/>
        </w:trPr>
        <w:tc>
          <w:tcPr>
            <w:tcW w:w="1300" w:type="dxa"/>
            <w:tcBorders>
              <w:top w:val="nil"/>
              <w:left w:val="nil"/>
              <w:bottom w:val="nil"/>
              <w:right w:val="nil"/>
            </w:tcBorders>
            <w:shd w:val="clear" w:color="auto" w:fill="auto"/>
            <w:noWrap/>
            <w:vAlign w:val="bottom"/>
            <w:hideMark/>
          </w:tcPr>
          <w:p w14:paraId="33E56A5D" w14:textId="77777777" w:rsidR="008D41D7" w:rsidRPr="006F4D00" w:rsidRDefault="008D41D7" w:rsidP="008607AC">
            <w:pPr>
              <w:rPr>
                <w:color w:val="000000"/>
                <w:sz w:val="20"/>
                <w:szCs w:val="20"/>
              </w:rPr>
            </w:pPr>
            <w:r w:rsidRPr="006F4D00">
              <w:rPr>
                <w:color w:val="000000"/>
                <w:sz w:val="20"/>
                <w:szCs w:val="20"/>
              </w:rPr>
              <w:t>57</w:t>
            </w:r>
          </w:p>
        </w:tc>
        <w:tc>
          <w:tcPr>
            <w:tcW w:w="6031" w:type="dxa"/>
            <w:tcBorders>
              <w:top w:val="nil"/>
              <w:left w:val="nil"/>
              <w:bottom w:val="nil"/>
              <w:right w:val="nil"/>
            </w:tcBorders>
            <w:shd w:val="clear" w:color="auto" w:fill="auto"/>
            <w:noWrap/>
            <w:vAlign w:val="bottom"/>
            <w:hideMark/>
          </w:tcPr>
          <w:p w14:paraId="032E4961" w14:textId="77777777" w:rsidR="008D41D7" w:rsidRPr="006F4D00" w:rsidRDefault="008D41D7" w:rsidP="008607AC">
            <w:pPr>
              <w:rPr>
                <w:color w:val="000000"/>
                <w:sz w:val="20"/>
                <w:szCs w:val="20"/>
              </w:rPr>
            </w:pPr>
            <w:r w:rsidRPr="006F4D00">
              <w:rPr>
                <w:color w:val="000000"/>
                <w:sz w:val="20"/>
                <w:szCs w:val="20"/>
              </w:rPr>
              <w:t xml:space="preserve"> Explosives and pyrotechnic products (5)</w:t>
            </w:r>
          </w:p>
        </w:tc>
      </w:tr>
      <w:tr w:rsidR="008D41D7" w:rsidRPr="006F4D00" w14:paraId="5A26A78C" w14:textId="77777777" w:rsidTr="008607AC">
        <w:trPr>
          <w:trHeight w:val="300"/>
        </w:trPr>
        <w:tc>
          <w:tcPr>
            <w:tcW w:w="1300" w:type="dxa"/>
            <w:tcBorders>
              <w:top w:val="nil"/>
              <w:left w:val="nil"/>
              <w:bottom w:val="nil"/>
              <w:right w:val="nil"/>
            </w:tcBorders>
            <w:shd w:val="clear" w:color="auto" w:fill="auto"/>
            <w:noWrap/>
            <w:vAlign w:val="bottom"/>
            <w:hideMark/>
          </w:tcPr>
          <w:p w14:paraId="2322A4C9" w14:textId="77777777" w:rsidR="008D41D7" w:rsidRPr="006F4D00" w:rsidRDefault="008D41D7" w:rsidP="008607AC">
            <w:pPr>
              <w:rPr>
                <w:color w:val="000000"/>
                <w:sz w:val="20"/>
                <w:szCs w:val="20"/>
              </w:rPr>
            </w:pPr>
            <w:r w:rsidRPr="006F4D00">
              <w:rPr>
                <w:color w:val="000000"/>
                <w:sz w:val="20"/>
                <w:szCs w:val="20"/>
              </w:rPr>
              <w:t>661</w:t>
            </w:r>
          </w:p>
        </w:tc>
        <w:tc>
          <w:tcPr>
            <w:tcW w:w="6031" w:type="dxa"/>
            <w:tcBorders>
              <w:top w:val="nil"/>
              <w:left w:val="nil"/>
              <w:bottom w:val="nil"/>
              <w:right w:val="nil"/>
            </w:tcBorders>
            <w:shd w:val="clear" w:color="auto" w:fill="auto"/>
            <w:noWrap/>
            <w:vAlign w:val="bottom"/>
            <w:hideMark/>
          </w:tcPr>
          <w:p w14:paraId="031866A6" w14:textId="77777777" w:rsidR="008D41D7" w:rsidRPr="006F4D00" w:rsidRDefault="008D41D7" w:rsidP="008607AC">
            <w:pPr>
              <w:rPr>
                <w:color w:val="000000"/>
                <w:sz w:val="20"/>
                <w:szCs w:val="20"/>
              </w:rPr>
            </w:pPr>
            <w:r w:rsidRPr="006F4D00">
              <w:rPr>
                <w:color w:val="000000"/>
                <w:sz w:val="20"/>
                <w:szCs w:val="20"/>
              </w:rPr>
              <w:t xml:space="preserve"> Lime, cement, and fabricated construction materials (5)</w:t>
            </w:r>
          </w:p>
        </w:tc>
      </w:tr>
      <w:tr w:rsidR="008D41D7" w:rsidRPr="006F4D00" w14:paraId="00913C6C" w14:textId="77777777" w:rsidTr="008607AC">
        <w:trPr>
          <w:trHeight w:val="300"/>
        </w:trPr>
        <w:tc>
          <w:tcPr>
            <w:tcW w:w="1300" w:type="dxa"/>
            <w:tcBorders>
              <w:top w:val="nil"/>
              <w:left w:val="nil"/>
              <w:bottom w:val="nil"/>
              <w:right w:val="nil"/>
            </w:tcBorders>
            <w:shd w:val="clear" w:color="auto" w:fill="auto"/>
            <w:noWrap/>
            <w:vAlign w:val="bottom"/>
            <w:hideMark/>
          </w:tcPr>
          <w:p w14:paraId="17F69D60" w14:textId="77777777" w:rsidR="008D41D7" w:rsidRPr="006F4D00" w:rsidRDefault="008D41D7" w:rsidP="008607AC">
            <w:pPr>
              <w:rPr>
                <w:color w:val="000000"/>
                <w:sz w:val="20"/>
                <w:szCs w:val="20"/>
              </w:rPr>
            </w:pPr>
            <w:r w:rsidRPr="006F4D00">
              <w:rPr>
                <w:color w:val="000000"/>
                <w:sz w:val="20"/>
                <w:szCs w:val="20"/>
              </w:rPr>
              <w:t>662</w:t>
            </w:r>
          </w:p>
        </w:tc>
        <w:tc>
          <w:tcPr>
            <w:tcW w:w="6031" w:type="dxa"/>
            <w:tcBorders>
              <w:top w:val="nil"/>
              <w:left w:val="nil"/>
              <w:bottom w:val="nil"/>
              <w:right w:val="nil"/>
            </w:tcBorders>
            <w:shd w:val="clear" w:color="auto" w:fill="auto"/>
            <w:noWrap/>
            <w:vAlign w:val="bottom"/>
            <w:hideMark/>
          </w:tcPr>
          <w:p w14:paraId="6B002B7D" w14:textId="77777777" w:rsidR="008D41D7" w:rsidRPr="006F4D00" w:rsidRDefault="008D41D7" w:rsidP="008607AC">
            <w:pPr>
              <w:rPr>
                <w:color w:val="000000"/>
                <w:sz w:val="20"/>
                <w:szCs w:val="20"/>
              </w:rPr>
            </w:pPr>
            <w:r w:rsidRPr="006F4D00">
              <w:rPr>
                <w:color w:val="000000"/>
                <w:sz w:val="20"/>
                <w:szCs w:val="20"/>
              </w:rPr>
              <w:t xml:space="preserve"> Clay construct.materials and refractory constr.mater (3)</w:t>
            </w:r>
          </w:p>
        </w:tc>
      </w:tr>
      <w:tr w:rsidR="008D41D7" w:rsidRPr="006F4D00" w14:paraId="4213726A" w14:textId="77777777" w:rsidTr="008607AC">
        <w:trPr>
          <w:trHeight w:val="300"/>
        </w:trPr>
        <w:tc>
          <w:tcPr>
            <w:tcW w:w="1300" w:type="dxa"/>
            <w:tcBorders>
              <w:top w:val="nil"/>
              <w:left w:val="nil"/>
              <w:bottom w:val="nil"/>
              <w:right w:val="nil"/>
            </w:tcBorders>
            <w:shd w:val="clear" w:color="auto" w:fill="auto"/>
            <w:noWrap/>
            <w:vAlign w:val="bottom"/>
            <w:hideMark/>
          </w:tcPr>
          <w:p w14:paraId="5EC79ED3" w14:textId="77777777" w:rsidR="008D41D7" w:rsidRPr="006F4D00" w:rsidRDefault="008D41D7" w:rsidP="008607AC">
            <w:pPr>
              <w:rPr>
                <w:color w:val="000000"/>
                <w:sz w:val="20"/>
                <w:szCs w:val="20"/>
              </w:rPr>
            </w:pPr>
            <w:r w:rsidRPr="006F4D00">
              <w:rPr>
                <w:color w:val="000000"/>
                <w:sz w:val="20"/>
                <w:szCs w:val="20"/>
              </w:rPr>
              <w:t>663</w:t>
            </w:r>
          </w:p>
        </w:tc>
        <w:tc>
          <w:tcPr>
            <w:tcW w:w="6031" w:type="dxa"/>
            <w:tcBorders>
              <w:top w:val="nil"/>
              <w:left w:val="nil"/>
              <w:bottom w:val="nil"/>
              <w:right w:val="nil"/>
            </w:tcBorders>
            <w:shd w:val="clear" w:color="auto" w:fill="auto"/>
            <w:noWrap/>
            <w:vAlign w:val="bottom"/>
            <w:hideMark/>
          </w:tcPr>
          <w:p w14:paraId="2B24E935" w14:textId="77777777" w:rsidR="008D41D7" w:rsidRPr="006F4D00" w:rsidRDefault="008D41D7" w:rsidP="008607AC">
            <w:pPr>
              <w:rPr>
                <w:color w:val="000000"/>
                <w:sz w:val="20"/>
                <w:szCs w:val="20"/>
              </w:rPr>
            </w:pPr>
            <w:r w:rsidRPr="006F4D00">
              <w:rPr>
                <w:color w:val="000000"/>
                <w:sz w:val="20"/>
                <w:szCs w:val="20"/>
              </w:rPr>
              <w:t xml:space="preserve"> Mineral manufactures, n.e.s (8)</w:t>
            </w:r>
          </w:p>
        </w:tc>
      </w:tr>
      <w:tr w:rsidR="008D41D7" w:rsidRPr="006F4D00" w14:paraId="3A26E25B" w14:textId="77777777" w:rsidTr="008607AC">
        <w:trPr>
          <w:trHeight w:val="300"/>
        </w:trPr>
        <w:tc>
          <w:tcPr>
            <w:tcW w:w="1300" w:type="dxa"/>
            <w:tcBorders>
              <w:top w:val="nil"/>
              <w:left w:val="nil"/>
              <w:bottom w:val="nil"/>
              <w:right w:val="nil"/>
            </w:tcBorders>
            <w:shd w:val="clear" w:color="auto" w:fill="auto"/>
            <w:noWrap/>
            <w:vAlign w:val="bottom"/>
            <w:hideMark/>
          </w:tcPr>
          <w:p w14:paraId="7F193661" w14:textId="77777777" w:rsidR="008D41D7" w:rsidRPr="006F4D00" w:rsidRDefault="008D41D7" w:rsidP="008607AC">
            <w:pPr>
              <w:rPr>
                <w:color w:val="000000"/>
                <w:sz w:val="20"/>
                <w:szCs w:val="20"/>
              </w:rPr>
            </w:pPr>
            <w:r w:rsidRPr="006F4D00">
              <w:rPr>
                <w:color w:val="000000"/>
                <w:sz w:val="20"/>
                <w:szCs w:val="20"/>
              </w:rPr>
              <w:t>671</w:t>
            </w:r>
          </w:p>
        </w:tc>
        <w:tc>
          <w:tcPr>
            <w:tcW w:w="6031" w:type="dxa"/>
            <w:tcBorders>
              <w:top w:val="nil"/>
              <w:left w:val="nil"/>
              <w:bottom w:val="nil"/>
              <w:right w:val="nil"/>
            </w:tcBorders>
            <w:shd w:val="clear" w:color="auto" w:fill="auto"/>
            <w:noWrap/>
            <w:vAlign w:val="bottom"/>
            <w:hideMark/>
          </w:tcPr>
          <w:p w14:paraId="05481A55" w14:textId="77777777" w:rsidR="008D41D7" w:rsidRPr="006F4D00" w:rsidRDefault="008D41D7" w:rsidP="008607AC">
            <w:pPr>
              <w:rPr>
                <w:color w:val="000000"/>
                <w:sz w:val="20"/>
                <w:szCs w:val="20"/>
              </w:rPr>
            </w:pPr>
            <w:r w:rsidRPr="006F4D00">
              <w:rPr>
                <w:color w:val="000000"/>
                <w:sz w:val="20"/>
                <w:szCs w:val="20"/>
              </w:rPr>
              <w:t xml:space="preserve"> Pig iron, spiegeleisen, sponge iron, iron or steel (4)</w:t>
            </w:r>
          </w:p>
        </w:tc>
      </w:tr>
      <w:tr w:rsidR="008D41D7" w:rsidRPr="006F4D00" w14:paraId="2EC7BF61" w14:textId="77777777" w:rsidTr="008607AC">
        <w:trPr>
          <w:trHeight w:val="300"/>
        </w:trPr>
        <w:tc>
          <w:tcPr>
            <w:tcW w:w="1300" w:type="dxa"/>
            <w:tcBorders>
              <w:top w:val="nil"/>
              <w:left w:val="nil"/>
              <w:bottom w:val="nil"/>
              <w:right w:val="nil"/>
            </w:tcBorders>
            <w:shd w:val="clear" w:color="auto" w:fill="auto"/>
            <w:noWrap/>
            <w:vAlign w:val="bottom"/>
            <w:hideMark/>
          </w:tcPr>
          <w:p w14:paraId="00C68EBC" w14:textId="77777777" w:rsidR="008D41D7" w:rsidRPr="006F4D00" w:rsidRDefault="008D41D7" w:rsidP="008607AC">
            <w:pPr>
              <w:rPr>
                <w:color w:val="000000"/>
                <w:sz w:val="20"/>
                <w:szCs w:val="20"/>
              </w:rPr>
            </w:pPr>
            <w:r w:rsidRPr="006F4D00">
              <w:rPr>
                <w:color w:val="000000"/>
                <w:sz w:val="20"/>
                <w:szCs w:val="20"/>
              </w:rPr>
              <w:t>672</w:t>
            </w:r>
          </w:p>
        </w:tc>
        <w:tc>
          <w:tcPr>
            <w:tcW w:w="6031" w:type="dxa"/>
            <w:tcBorders>
              <w:top w:val="nil"/>
              <w:left w:val="nil"/>
              <w:bottom w:val="nil"/>
              <w:right w:val="nil"/>
            </w:tcBorders>
            <w:shd w:val="clear" w:color="auto" w:fill="auto"/>
            <w:noWrap/>
            <w:vAlign w:val="bottom"/>
            <w:hideMark/>
          </w:tcPr>
          <w:p w14:paraId="5C5E7552" w14:textId="77777777" w:rsidR="008D41D7" w:rsidRPr="006F4D00" w:rsidRDefault="008D41D7" w:rsidP="008607AC">
            <w:pPr>
              <w:rPr>
                <w:color w:val="000000"/>
                <w:sz w:val="20"/>
                <w:szCs w:val="20"/>
              </w:rPr>
            </w:pPr>
            <w:r w:rsidRPr="006F4D00">
              <w:rPr>
                <w:color w:val="000000"/>
                <w:sz w:val="20"/>
                <w:szCs w:val="20"/>
              </w:rPr>
              <w:t>Ingots and other primary forms, of iron or steel (5)</w:t>
            </w:r>
          </w:p>
        </w:tc>
      </w:tr>
      <w:tr w:rsidR="008D41D7" w:rsidRPr="006F4D00" w14:paraId="76E55C67" w14:textId="77777777" w:rsidTr="008607AC">
        <w:trPr>
          <w:trHeight w:val="300"/>
        </w:trPr>
        <w:tc>
          <w:tcPr>
            <w:tcW w:w="1300" w:type="dxa"/>
            <w:tcBorders>
              <w:top w:val="nil"/>
              <w:left w:val="nil"/>
              <w:bottom w:val="nil"/>
              <w:right w:val="nil"/>
            </w:tcBorders>
            <w:shd w:val="clear" w:color="auto" w:fill="auto"/>
            <w:noWrap/>
            <w:vAlign w:val="bottom"/>
            <w:hideMark/>
          </w:tcPr>
          <w:p w14:paraId="4005C375" w14:textId="77777777" w:rsidR="008D41D7" w:rsidRPr="006F4D00" w:rsidRDefault="008D41D7" w:rsidP="008607AC">
            <w:pPr>
              <w:rPr>
                <w:color w:val="000000"/>
                <w:sz w:val="20"/>
                <w:szCs w:val="20"/>
              </w:rPr>
            </w:pPr>
            <w:r w:rsidRPr="006F4D00">
              <w:rPr>
                <w:color w:val="000000"/>
                <w:sz w:val="20"/>
                <w:szCs w:val="20"/>
              </w:rPr>
              <w:t>676</w:t>
            </w:r>
          </w:p>
        </w:tc>
        <w:tc>
          <w:tcPr>
            <w:tcW w:w="6031" w:type="dxa"/>
            <w:tcBorders>
              <w:top w:val="nil"/>
              <w:left w:val="nil"/>
              <w:bottom w:val="nil"/>
              <w:right w:val="nil"/>
            </w:tcBorders>
            <w:shd w:val="clear" w:color="auto" w:fill="auto"/>
            <w:noWrap/>
            <w:vAlign w:val="bottom"/>
            <w:hideMark/>
          </w:tcPr>
          <w:p w14:paraId="38282377" w14:textId="77777777" w:rsidR="008D41D7" w:rsidRPr="006F4D00" w:rsidRDefault="008D41D7" w:rsidP="008607AC">
            <w:pPr>
              <w:rPr>
                <w:color w:val="000000"/>
                <w:sz w:val="20"/>
                <w:szCs w:val="20"/>
              </w:rPr>
            </w:pPr>
            <w:r w:rsidRPr="006F4D00">
              <w:rPr>
                <w:color w:val="000000"/>
                <w:sz w:val="20"/>
                <w:szCs w:val="20"/>
              </w:rPr>
              <w:t>Rails and railway track construction material (1)</w:t>
            </w:r>
          </w:p>
        </w:tc>
      </w:tr>
      <w:tr w:rsidR="008D41D7" w:rsidRPr="006F4D00" w14:paraId="2FCABFAB" w14:textId="77777777" w:rsidTr="008607AC">
        <w:trPr>
          <w:trHeight w:val="300"/>
        </w:trPr>
        <w:tc>
          <w:tcPr>
            <w:tcW w:w="1300" w:type="dxa"/>
            <w:tcBorders>
              <w:top w:val="nil"/>
              <w:left w:val="nil"/>
              <w:bottom w:val="nil"/>
              <w:right w:val="nil"/>
            </w:tcBorders>
            <w:shd w:val="clear" w:color="auto" w:fill="auto"/>
            <w:noWrap/>
            <w:vAlign w:val="bottom"/>
            <w:hideMark/>
          </w:tcPr>
          <w:p w14:paraId="5816C2E5" w14:textId="77777777" w:rsidR="008D41D7" w:rsidRPr="006F4D00" w:rsidRDefault="008D41D7" w:rsidP="008607AC">
            <w:pPr>
              <w:rPr>
                <w:color w:val="000000"/>
                <w:sz w:val="20"/>
                <w:szCs w:val="20"/>
              </w:rPr>
            </w:pPr>
            <w:r w:rsidRPr="006F4D00">
              <w:rPr>
                <w:color w:val="000000"/>
                <w:sz w:val="20"/>
                <w:szCs w:val="20"/>
              </w:rPr>
              <w:t>691</w:t>
            </w:r>
          </w:p>
        </w:tc>
        <w:tc>
          <w:tcPr>
            <w:tcW w:w="6031" w:type="dxa"/>
            <w:tcBorders>
              <w:top w:val="nil"/>
              <w:left w:val="nil"/>
              <w:bottom w:val="nil"/>
              <w:right w:val="nil"/>
            </w:tcBorders>
            <w:shd w:val="clear" w:color="auto" w:fill="auto"/>
            <w:noWrap/>
            <w:vAlign w:val="bottom"/>
            <w:hideMark/>
          </w:tcPr>
          <w:p w14:paraId="7C3F9F2F" w14:textId="77777777" w:rsidR="008D41D7" w:rsidRPr="006F4D00" w:rsidRDefault="008D41D7" w:rsidP="008607AC">
            <w:pPr>
              <w:rPr>
                <w:color w:val="000000"/>
                <w:sz w:val="20"/>
                <w:szCs w:val="20"/>
              </w:rPr>
            </w:pPr>
            <w:r w:rsidRPr="006F4D00">
              <w:rPr>
                <w:color w:val="000000"/>
                <w:sz w:val="20"/>
                <w:szCs w:val="20"/>
              </w:rPr>
              <w:t>Structures &amp;  parts of struc.; iron, steel, aluminium (4)</w:t>
            </w:r>
          </w:p>
        </w:tc>
      </w:tr>
      <w:tr w:rsidR="008D41D7" w:rsidRPr="006F4D00" w14:paraId="0BAEA373" w14:textId="77777777" w:rsidTr="008607AC">
        <w:trPr>
          <w:trHeight w:val="300"/>
        </w:trPr>
        <w:tc>
          <w:tcPr>
            <w:tcW w:w="1300" w:type="dxa"/>
            <w:tcBorders>
              <w:top w:val="nil"/>
              <w:left w:val="nil"/>
              <w:bottom w:val="nil"/>
              <w:right w:val="nil"/>
            </w:tcBorders>
            <w:shd w:val="clear" w:color="auto" w:fill="auto"/>
            <w:noWrap/>
            <w:vAlign w:val="bottom"/>
            <w:hideMark/>
          </w:tcPr>
          <w:p w14:paraId="1027C4B0" w14:textId="77777777" w:rsidR="008D41D7" w:rsidRPr="006F4D00" w:rsidRDefault="008D41D7" w:rsidP="008607AC">
            <w:pPr>
              <w:rPr>
                <w:color w:val="000000"/>
                <w:sz w:val="20"/>
                <w:szCs w:val="20"/>
              </w:rPr>
            </w:pPr>
            <w:r w:rsidRPr="006F4D00">
              <w:rPr>
                <w:color w:val="000000"/>
                <w:sz w:val="20"/>
                <w:szCs w:val="20"/>
              </w:rPr>
              <w:t>721</w:t>
            </w:r>
          </w:p>
        </w:tc>
        <w:tc>
          <w:tcPr>
            <w:tcW w:w="6031" w:type="dxa"/>
            <w:tcBorders>
              <w:top w:val="nil"/>
              <w:left w:val="nil"/>
              <w:bottom w:val="nil"/>
              <w:right w:val="nil"/>
            </w:tcBorders>
            <w:shd w:val="clear" w:color="auto" w:fill="auto"/>
            <w:noWrap/>
            <w:vAlign w:val="bottom"/>
            <w:hideMark/>
          </w:tcPr>
          <w:p w14:paraId="60B144F0" w14:textId="77777777" w:rsidR="008D41D7" w:rsidRPr="006F4D00" w:rsidRDefault="008D41D7" w:rsidP="008607AC">
            <w:pPr>
              <w:rPr>
                <w:color w:val="000000"/>
                <w:sz w:val="20"/>
                <w:szCs w:val="20"/>
              </w:rPr>
            </w:pPr>
            <w:r w:rsidRPr="006F4D00">
              <w:rPr>
                <w:color w:val="000000"/>
                <w:sz w:val="20"/>
                <w:szCs w:val="20"/>
              </w:rPr>
              <w:t>Agricultural machinery and parts (5)</w:t>
            </w:r>
          </w:p>
        </w:tc>
      </w:tr>
      <w:tr w:rsidR="008D41D7" w:rsidRPr="006F4D00" w14:paraId="1C4F7F10" w14:textId="77777777" w:rsidTr="008607AC">
        <w:trPr>
          <w:trHeight w:val="300"/>
        </w:trPr>
        <w:tc>
          <w:tcPr>
            <w:tcW w:w="1300" w:type="dxa"/>
            <w:tcBorders>
              <w:top w:val="nil"/>
              <w:left w:val="nil"/>
              <w:bottom w:val="nil"/>
              <w:right w:val="nil"/>
            </w:tcBorders>
            <w:shd w:val="clear" w:color="auto" w:fill="auto"/>
            <w:noWrap/>
            <w:vAlign w:val="bottom"/>
            <w:hideMark/>
          </w:tcPr>
          <w:p w14:paraId="45C13AB5" w14:textId="77777777" w:rsidR="008D41D7" w:rsidRPr="006F4D00" w:rsidRDefault="008D41D7" w:rsidP="008607AC">
            <w:pPr>
              <w:rPr>
                <w:color w:val="000000"/>
                <w:sz w:val="20"/>
                <w:szCs w:val="20"/>
              </w:rPr>
            </w:pPr>
            <w:r w:rsidRPr="006F4D00">
              <w:rPr>
                <w:color w:val="000000"/>
                <w:sz w:val="20"/>
                <w:szCs w:val="20"/>
              </w:rPr>
              <w:t>722</w:t>
            </w:r>
          </w:p>
        </w:tc>
        <w:tc>
          <w:tcPr>
            <w:tcW w:w="6031" w:type="dxa"/>
            <w:tcBorders>
              <w:top w:val="nil"/>
              <w:left w:val="nil"/>
              <w:bottom w:val="nil"/>
              <w:right w:val="nil"/>
            </w:tcBorders>
            <w:shd w:val="clear" w:color="auto" w:fill="auto"/>
            <w:noWrap/>
            <w:vAlign w:val="bottom"/>
            <w:hideMark/>
          </w:tcPr>
          <w:p w14:paraId="20F619FB" w14:textId="77777777" w:rsidR="008D41D7" w:rsidRPr="006F4D00" w:rsidRDefault="008D41D7" w:rsidP="008607AC">
            <w:pPr>
              <w:rPr>
                <w:color w:val="000000"/>
                <w:sz w:val="20"/>
                <w:szCs w:val="20"/>
              </w:rPr>
            </w:pPr>
            <w:r w:rsidRPr="006F4D00">
              <w:rPr>
                <w:color w:val="000000"/>
                <w:sz w:val="20"/>
                <w:szCs w:val="20"/>
              </w:rPr>
              <w:t xml:space="preserve"> Tractors fitted or not with power take-offs, etc. (3)</w:t>
            </w:r>
          </w:p>
        </w:tc>
      </w:tr>
      <w:tr w:rsidR="008D41D7" w:rsidRPr="006F4D00" w14:paraId="7F7F74A3" w14:textId="77777777" w:rsidTr="008607AC">
        <w:trPr>
          <w:trHeight w:val="300"/>
        </w:trPr>
        <w:tc>
          <w:tcPr>
            <w:tcW w:w="1300" w:type="dxa"/>
            <w:tcBorders>
              <w:top w:val="nil"/>
              <w:left w:val="nil"/>
              <w:bottom w:val="nil"/>
              <w:right w:val="nil"/>
            </w:tcBorders>
            <w:shd w:val="clear" w:color="auto" w:fill="auto"/>
            <w:noWrap/>
            <w:vAlign w:val="bottom"/>
            <w:hideMark/>
          </w:tcPr>
          <w:p w14:paraId="30CA4A3A" w14:textId="77777777" w:rsidR="008D41D7" w:rsidRPr="006F4D00" w:rsidRDefault="008D41D7" w:rsidP="008607AC">
            <w:pPr>
              <w:rPr>
                <w:color w:val="000000"/>
                <w:sz w:val="20"/>
                <w:szCs w:val="20"/>
              </w:rPr>
            </w:pPr>
            <w:r w:rsidRPr="006F4D00">
              <w:rPr>
                <w:color w:val="000000"/>
                <w:sz w:val="20"/>
                <w:szCs w:val="20"/>
              </w:rPr>
              <w:t>781</w:t>
            </w:r>
          </w:p>
        </w:tc>
        <w:tc>
          <w:tcPr>
            <w:tcW w:w="6031" w:type="dxa"/>
            <w:tcBorders>
              <w:top w:val="nil"/>
              <w:left w:val="nil"/>
              <w:bottom w:val="nil"/>
              <w:right w:val="nil"/>
            </w:tcBorders>
            <w:shd w:val="clear" w:color="auto" w:fill="auto"/>
            <w:noWrap/>
            <w:vAlign w:val="bottom"/>
            <w:hideMark/>
          </w:tcPr>
          <w:p w14:paraId="5B8E5C80" w14:textId="77777777" w:rsidR="008D41D7" w:rsidRPr="006F4D00" w:rsidRDefault="008D41D7" w:rsidP="008607AC">
            <w:pPr>
              <w:rPr>
                <w:color w:val="000000"/>
                <w:sz w:val="20"/>
                <w:szCs w:val="20"/>
              </w:rPr>
            </w:pPr>
            <w:r w:rsidRPr="006F4D00">
              <w:rPr>
                <w:color w:val="000000"/>
                <w:sz w:val="20"/>
                <w:szCs w:val="20"/>
              </w:rPr>
              <w:t xml:space="preserve"> Passenger motor cars, for transport of pass., goods (1)</w:t>
            </w:r>
          </w:p>
        </w:tc>
      </w:tr>
      <w:tr w:rsidR="008D41D7" w:rsidRPr="006F4D00" w14:paraId="6B7A79D9" w14:textId="77777777" w:rsidTr="008607AC">
        <w:trPr>
          <w:trHeight w:val="300"/>
        </w:trPr>
        <w:tc>
          <w:tcPr>
            <w:tcW w:w="1300" w:type="dxa"/>
            <w:tcBorders>
              <w:top w:val="nil"/>
              <w:left w:val="nil"/>
              <w:bottom w:val="nil"/>
              <w:right w:val="nil"/>
            </w:tcBorders>
            <w:shd w:val="clear" w:color="auto" w:fill="auto"/>
            <w:noWrap/>
            <w:vAlign w:val="bottom"/>
            <w:hideMark/>
          </w:tcPr>
          <w:p w14:paraId="57AA7EC2" w14:textId="77777777" w:rsidR="008D41D7" w:rsidRPr="006F4D00" w:rsidRDefault="008D41D7" w:rsidP="008607AC">
            <w:pPr>
              <w:rPr>
                <w:color w:val="000000"/>
                <w:sz w:val="20"/>
                <w:szCs w:val="20"/>
              </w:rPr>
            </w:pPr>
            <w:r w:rsidRPr="006F4D00">
              <w:rPr>
                <w:color w:val="000000"/>
                <w:sz w:val="20"/>
                <w:szCs w:val="20"/>
              </w:rPr>
              <w:t>782</w:t>
            </w:r>
          </w:p>
        </w:tc>
        <w:tc>
          <w:tcPr>
            <w:tcW w:w="6031" w:type="dxa"/>
            <w:tcBorders>
              <w:top w:val="nil"/>
              <w:left w:val="nil"/>
              <w:bottom w:val="nil"/>
              <w:right w:val="nil"/>
            </w:tcBorders>
            <w:shd w:val="clear" w:color="auto" w:fill="auto"/>
            <w:noWrap/>
            <w:vAlign w:val="bottom"/>
            <w:hideMark/>
          </w:tcPr>
          <w:p w14:paraId="42CDC7E5" w14:textId="77777777" w:rsidR="008D41D7" w:rsidRPr="006F4D00" w:rsidRDefault="008D41D7" w:rsidP="008607AC">
            <w:pPr>
              <w:rPr>
                <w:color w:val="000000"/>
                <w:sz w:val="20"/>
                <w:szCs w:val="20"/>
              </w:rPr>
            </w:pPr>
            <w:r w:rsidRPr="006F4D00">
              <w:rPr>
                <w:color w:val="000000"/>
                <w:sz w:val="20"/>
                <w:szCs w:val="20"/>
              </w:rPr>
              <w:t xml:space="preserve"> Motor vehicles for transport of goods and materials (3)</w:t>
            </w:r>
          </w:p>
        </w:tc>
      </w:tr>
      <w:tr w:rsidR="008D41D7" w:rsidRPr="006F4D00" w14:paraId="6C96A3F7" w14:textId="77777777" w:rsidTr="008607AC">
        <w:trPr>
          <w:trHeight w:val="300"/>
        </w:trPr>
        <w:tc>
          <w:tcPr>
            <w:tcW w:w="1300" w:type="dxa"/>
            <w:tcBorders>
              <w:top w:val="nil"/>
              <w:left w:val="nil"/>
              <w:bottom w:val="nil"/>
              <w:right w:val="nil"/>
            </w:tcBorders>
            <w:shd w:val="clear" w:color="auto" w:fill="auto"/>
            <w:noWrap/>
            <w:vAlign w:val="bottom"/>
            <w:hideMark/>
          </w:tcPr>
          <w:p w14:paraId="54A17BFB" w14:textId="77777777" w:rsidR="008D41D7" w:rsidRPr="006F4D00" w:rsidRDefault="008D41D7" w:rsidP="008607AC">
            <w:pPr>
              <w:rPr>
                <w:color w:val="000000"/>
                <w:sz w:val="20"/>
                <w:szCs w:val="20"/>
              </w:rPr>
            </w:pPr>
            <w:r w:rsidRPr="006F4D00">
              <w:rPr>
                <w:color w:val="000000"/>
                <w:sz w:val="20"/>
                <w:szCs w:val="20"/>
              </w:rPr>
              <w:t>783</w:t>
            </w:r>
          </w:p>
        </w:tc>
        <w:tc>
          <w:tcPr>
            <w:tcW w:w="6031" w:type="dxa"/>
            <w:tcBorders>
              <w:top w:val="nil"/>
              <w:left w:val="nil"/>
              <w:bottom w:val="nil"/>
              <w:right w:val="nil"/>
            </w:tcBorders>
            <w:shd w:val="clear" w:color="auto" w:fill="auto"/>
            <w:noWrap/>
            <w:vAlign w:val="bottom"/>
            <w:hideMark/>
          </w:tcPr>
          <w:p w14:paraId="521E39A7" w14:textId="77777777" w:rsidR="008D41D7" w:rsidRPr="006F4D00" w:rsidRDefault="008D41D7" w:rsidP="008607AC">
            <w:pPr>
              <w:rPr>
                <w:color w:val="000000"/>
                <w:sz w:val="20"/>
                <w:szCs w:val="20"/>
              </w:rPr>
            </w:pPr>
            <w:r w:rsidRPr="006F4D00">
              <w:rPr>
                <w:color w:val="000000"/>
                <w:sz w:val="20"/>
                <w:szCs w:val="20"/>
              </w:rPr>
              <w:t xml:space="preserve"> Road motor vehicles, n.e.s. (3)</w:t>
            </w:r>
          </w:p>
        </w:tc>
      </w:tr>
      <w:tr w:rsidR="008D41D7" w:rsidRPr="006F4D00" w14:paraId="689D0E24" w14:textId="77777777" w:rsidTr="008607AC">
        <w:trPr>
          <w:trHeight w:val="300"/>
        </w:trPr>
        <w:tc>
          <w:tcPr>
            <w:tcW w:w="1300" w:type="dxa"/>
            <w:tcBorders>
              <w:top w:val="nil"/>
              <w:left w:val="nil"/>
              <w:bottom w:val="nil"/>
              <w:right w:val="nil"/>
            </w:tcBorders>
            <w:shd w:val="clear" w:color="auto" w:fill="auto"/>
            <w:noWrap/>
            <w:vAlign w:val="bottom"/>
            <w:hideMark/>
          </w:tcPr>
          <w:p w14:paraId="6A1D34F0" w14:textId="77777777" w:rsidR="008D41D7" w:rsidRPr="006F4D00" w:rsidRDefault="008D41D7" w:rsidP="008607AC">
            <w:pPr>
              <w:rPr>
                <w:color w:val="000000"/>
                <w:sz w:val="20"/>
                <w:szCs w:val="20"/>
              </w:rPr>
            </w:pPr>
            <w:r w:rsidRPr="006F4D00">
              <w:rPr>
                <w:color w:val="000000"/>
                <w:sz w:val="20"/>
                <w:szCs w:val="20"/>
              </w:rPr>
              <w:t>785</w:t>
            </w:r>
          </w:p>
        </w:tc>
        <w:tc>
          <w:tcPr>
            <w:tcW w:w="6031" w:type="dxa"/>
            <w:tcBorders>
              <w:top w:val="nil"/>
              <w:left w:val="nil"/>
              <w:bottom w:val="nil"/>
              <w:right w:val="nil"/>
            </w:tcBorders>
            <w:shd w:val="clear" w:color="auto" w:fill="auto"/>
            <w:noWrap/>
            <w:vAlign w:val="bottom"/>
            <w:hideMark/>
          </w:tcPr>
          <w:p w14:paraId="7D84BEEA" w14:textId="77777777" w:rsidR="008D41D7" w:rsidRPr="006F4D00" w:rsidRDefault="008D41D7" w:rsidP="008607AC">
            <w:pPr>
              <w:rPr>
                <w:color w:val="000000"/>
                <w:sz w:val="20"/>
                <w:szCs w:val="20"/>
              </w:rPr>
            </w:pPr>
            <w:r w:rsidRPr="006F4D00">
              <w:rPr>
                <w:color w:val="000000"/>
                <w:sz w:val="20"/>
                <w:szCs w:val="20"/>
              </w:rPr>
              <w:t xml:space="preserve"> Motorcycles, motor scooters, invalid carriages (4)</w:t>
            </w:r>
          </w:p>
        </w:tc>
      </w:tr>
      <w:tr w:rsidR="008D41D7" w:rsidRPr="006F4D00" w14:paraId="125DCB0E" w14:textId="77777777" w:rsidTr="008607AC">
        <w:trPr>
          <w:trHeight w:val="300"/>
        </w:trPr>
        <w:tc>
          <w:tcPr>
            <w:tcW w:w="1300" w:type="dxa"/>
            <w:tcBorders>
              <w:top w:val="nil"/>
              <w:left w:val="nil"/>
              <w:bottom w:val="nil"/>
              <w:right w:val="nil"/>
            </w:tcBorders>
            <w:shd w:val="clear" w:color="auto" w:fill="auto"/>
            <w:noWrap/>
            <w:vAlign w:val="bottom"/>
            <w:hideMark/>
          </w:tcPr>
          <w:p w14:paraId="6C347416" w14:textId="77777777" w:rsidR="008D41D7" w:rsidRPr="006F4D00" w:rsidRDefault="008D41D7" w:rsidP="008607AC">
            <w:pPr>
              <w:rPr>
                <w:color w:val="000000"/>
                <w:sz w:val="20"/>
                <w:szCs w:val="20"/>
              </w:rPr>
            </w:pPr>
            <w:r w:rsidRPr="006F4D00">
              <w:rPr>
                <w:color w:val="000000"/>
                <w:sz w:val="20"/>
                <w:szCs w:val="20"/>
              </w:rPr>
              <w:t>786</w:t>
            </w:r>
          </w:p>
        </w:tc>
        <w:tc>
          <w:tcPr>
            <w:tcW w:w="6031" w:type="dxa"/>
            <w:tcBorders>
              <w:top w:val="nil"/>
              <w:left w:val="nil"/>
              <w:bottom w:val="nil"/>
              <w:right w:val="nil"/>
            </w:tcBorders>
            <w:shd w:val="clear" w:color="auto" w:fill="auto"/>
            <w:noWrap/>
            <w:vAlign w:val="bottom"/>
            <w:hideMark/>
          </w:tcPr>
          <w:p w14:paraId="3356573F" w14:textId="77777777" w:rsidR="008D41D7" w:rsidRPr="006F4D00" w:rsidRDefault="008D41D7" w:rsidP="008607AC">
            <w:pPr>
              <w:rPr>
                <w:color w:val="000000"/>
                <w:sz w:val="20"/>
                <w:szCs w:val="20"/>
              </w:rPr>
            </w:pPr>
            <w:r w:rsidRPr="006F4D00">
              <w:rPr>
                <w:color w:val="000000"/>
                <w:sz w:val="20"/>
                <w:szCs w:val="20"/>
              </w:rPr>
              <w:t xml:space="preserve"> Trailers and other vehicles, not motorized (4)</w:t>
            </w:r>
          </w:p>
        </w:tc>
      </w:tr>
      <w:tr w:rsidR="008D41D7" w:rsidRPr="006F4D00" w14:paraId="07AA800D" w14:textId="77777777" w:rsidTr="008607AC">
        <w:trPr>
          <w:trHeight w:val="300"/>
        </w:trPr>
        <w:tc>
          <w:tcPr>
            <w:tcW w:w="1300" w:type="dxa"/>
            <w:tcBorders>
              <w:top w:val="nil"/>
              <w:left w:val="nil"/>
              <w:bottom w:val="nil"/>
              <w:right w:val="nil"/>
            </w:tcBorders>
            <w:shd w:val="clear" w:color="auto" w:fill="auto"/>
            <w:noWrap/>
            <w:vAlign w:val="bottom"/>
            <w:hideMark/>
          </w:tcPr>
          <w:p w14:paraId="33439049" w14:textId="77777777" w:rsidR="008D41D7" w:rsidRPr="006F4D00" w:rsidRDefault="008D41D7" w:rsidP="008607AC">
            <w:pPr>
              <w:rPr>
                <w:color w:val="000000"/>
                <w:sz w:val="20"/>
                <w:szCs w:val="20"/>
              </w:rPr>
            </w:pPr>
            <w:r w:rsidRPr="006F4D00">
              <w:rPr>
                <w:color w:val="000000"/>
                <w:sz w:val="20"/>
                <w:szCs w:val="20"/>
              </w:rPr>
              <w:t>791</w:t>
            </w:r>
          </w:p>
        </w:tc>
        <w:tc>
          <w:tcPr>
            <w:tcW w:w="6031" w:type="dxa"/>
            <w:tcBorders>
              <w:top w:val="nil"/>
              <w:left w:val="nil"/>
              <w:bottom w:val="nil"/>
              <w:right w:val="nil"/>
            </w:tcBorders>
            <w:shd w:val="clear" w:color="auto" w:fill="auto"/>
            <w:noWrap/>
            <w:vAlign w:val="bottom"/>
            <w:hideMark/>
          </w:tcPr>
          <w:p w14:paraId="4202FCD6" w14:textId="77777777" w:rsidR="008D41D7" w:rsidRPr="006F4D00" w:rsidRDefault="008D41D7" w:rsidP="008607AC">
            <w:pPr>
              <w:rPr>
                <w:color w:val="000000"/>
                <w:sz w:val="20"/>
                <w:szCs w:val="20"/>
              </w:rPr>
            </w:pPr>
            <w:r w:rsidRPr="006F4D00">
              <w:rPr>
                <w:color w:val="000000"/>
                <w:sz w:val="20"/>
                <w:szCs w:val="20"/>
              </w:rPr>
              <w:t xml:space="preserve"> Railway vehicles and associated equipment (7)</w:t>
            </w:r>
          </w:p>
        </w:tc>
      </w:tr>
      <w:tr w:rsidR="008D41D7" w:rsidRPr="006F4D00" w14:paraId="2A6C606D" w14:textId="77777777" w:rsidTr="008607AC">
        <w:trPr>
          <w:trHeight w:val="300"/>
        </w:trPr>
        <w:tc>
          <w:tcPr>
            <w:tcW w:w="1300" w:type="dxa"/>
            <w:tcBorders>
              <w:top w:val="nil"/>
              <w:left w:val="nil"/>
              <w:bottom w:val="nil"/>
              <w:right w:val="nil"/>
            </w:tcBorders>
            <w:shd w:val="clear" w:color="auto" w:fill="auto"/>
            <w:noWrap/>
            <w:vAlign w:val="bottom"/>
            <w:hideMark/>
          </w:tcPr>
          <w:p w14:paraId="32FF3230" w14:textId="77777777" w:rsidR="008D41D7" w:rsidRPr="006F4D00" w:rsidRDefault="008D41D7" w:rsidP="008607AC">
            <w:pPr>
              <w:rPr>
                <w:color w:val="000000"/>
                <w:sz w:val="20"/>
                <w:szCs w:val="20"/>
              </w:rPr>
            </w:pPr>
            <w:r w:rsidRPr="006F4D00">
              <w:rPr>
                <w:color w:val="000000"/>
                <w:sz w:val="20"/>
                <w:szCs w:val="20"/>
              </w:rPr>
              <w:t>792</w:t>
            </w:r>
          </w:p>
        </w:tc>
        <w:tc>
          <w:tcPr>
            <w:tcW w:w="6031" w:type="dxa"/>
            <w:tcBorders>
              <w:top w:val="nil"/>
              <w:left w:val="nil"/>
              <w:bottom w:val="nil"/>
              <w:right w:val="nil"/>
            </w:tcBorders>
            <w:shd w:val="clear" w:color="auto" w:fill="auto"/>
            <w:noWrap/>
            <w:vAlign w:val="bottom"/>
            <w:hideMark/>
          </w:tcPr>
          <w:p w14:paraId="03352F83" w14:textId="77777777" w:rsidR="008D41D7" w:rsidRPr="006F4D00" w:rsidRDefault="008D41D7" w:rsidP="008607AC">
            <w:pPr>
              <w:rPr>
                <w:color w:val="000000"/>
                <w:sz w:val="20"/>
                <w:szCs w:val="20"/>
              </w:rPr>
            </w:pPr>
            <w:r w:rsidRPr="006F4D00">
              <w:rPr>
                <w:color w:val="000000"/>
                <w:sz w:val="20"/>
                <w:szCs w:val="20"/>
              </w:rPr>
              <w:t xml:space="preserve"> Aircraft and associated equipment and parts (7)</w:t>
            </w:r>
          </w:p>
        </w:tc>
      </w:tr>
      <w:tr w:rsidR="008D41D7" w:rsidRPr="006F4D00" w14:paraId="20A60F8D" w14:textId="77777777" w:rsidTr="008607AC">
        <w:trPr>
          <w:trHeight w:val="300"/>
        </w:trPr>
        <w:tc>
          <w:tcPr>
            <w:tcW w:w="1300" w:type="dxa"/>
            <w:tcBorders>
              <w:top w:val="nil"/>
              <w:left w:val="nil"/>
              <w:bottom w:val="nil"/>
              <w:right w:val="nil"/>
            </w:tcBorders>
            <w:shd w:val="clear" w:color="auto" w:fill="auto"/>
            <w:noWrap/>
            <w:vAlign w:val="bottom"/>
            <w:hideMark/>
          </w:tcPr>
          <w:p w14:paraId="1ABBF30B" w14:textId="77777777" w:rsidR="008D41D7" w:rsidRPr="006F4D00" w:rsidRDefault="008D41D7" w:rsidP="008607AC">
            <w:pPr>
              <w:rPr>
                <w:color w:val="000000"/>
                <w:sz w:val="20"/>
                <w:szCs w:val="20"/>
              </w:rPr>
            </w:pPr>
            <w:r w:rsidRPr="006F4D00">
              <w:rPr>
                <w:color w:val="000000"/>
                <w:sz w:val="20"/>
                <w:szCs w:val="20"/>
              </w:rPr>
              <w:t>793</w:t>
            </w:r>
          </w:p>
        </w:tc>
        <w:tc>
          <w:tcPr>
            <w:tcW w:w="6031" w:type="dxa"/>
            <w:tcBorders>
              <w:top w:val="nil"/>
              <w:left w:val="nil"/>
              <w:bottom w:val="nil"/>
              <w:right w:val="nil"/>
            </w:tcBorders>
            <w:shd w:val="clear" w:color="auto" w:fill="auto"/>
            <w:noWrap/>
            <w:vAlign w:val="bottom"/>
            <w:hideMark/>
          </w:tcPr>
          <w:p w14:paraId="3767B561" w14:textId="77777777" w:rsidR="008D41D7" w:rsidRPr="006F4D00" w:rsidRDefault="008D41D7" w:rsidP="008607AC">
            <w:pPr>
              <w:rPr>
                <w:color w:val="000000"/>
                <w:sz w:val="20"/>
                <w:szCs w:val="20"/>
              </w:rPr>
            </w:pPr>
            <w:r w:rsidRPr="006F4D00">
              <w:rPr>
                <w:color w:val="000000"/>
                <w:sz w:val="20"/>
                <w:szCs w:val="20"/>
              </w:rPr>
              <w:t xml:space="preserve"> Ships, boats and floating structures (5)</w:t>
            </w:r>
          </w:p>
        </w:tc>
      </w:tr>
      <w:tr w:rsidR="008D41D7" w:rsidRPr="006F4D00" w14:paraId="6A69B86E" w14:textId="77777777" w:rsidTr="008607AC">
        <w:trPr>
          <w:trHeight w:val="300"/>
        </w:trPr>
        <w:tc>
          <w:tcPr>
            <w:tcW w:w="1300" w:type="dxa"/>
            <w:tcBorders>
              <w:top w:val="nil"/>
              <w:left w:val="nil"/>
              <w:bottom w:val="nil"/>
              <w:right w:val="nil"/>
            </w:tcBorders>
            <w:shd w:val="clear" w:color="auto" w:fill="auto"/>
            <w:noWrap/>
            <w:vAlign w:val="bottom"/>
            <w:hideMark/>
          </w:tcPr>
          <w:p w14:paraId="1DAF4860" w14:textId="77777777" w:rsidR="008D41D7" w:rsidRPr="006F4D00" w:rsidRDefault="008D41D7" w:rsidP="008607AC">
            <w:pPr>
              <w:rPr>
                <w:color w:val="000000"/>
                <w:sz w:val="20"/>
                <w:szCs w:val="20"/>
              </w:rPr>
            </w:pPr>
            <w:r w:rsidRPr="006F4D00">
              <w:rPr>
                <w:color w:val="000000"/>
                <w:sz w:val="20"/>
                <w:szCs w:val="20"/>
              </w:rPr>
              <w:t>9</w:t>
            </w:r>
          </w:p>
        </w:tc>
        <w:tc>
          <w:tcPr>
            <w:tcW w:w="6031" w:type="dxa"/>
            <w:tcBorders>
              <w:top w:val="nil"/>
              <w:left w:val="nil"/>
              <w:bottom w:val="nil"/>
              <w:right w:val="nil"/>
            </w:tcBorders>
            <w:shd w:val="clear" w:color="auto" w:fill="auto"/>
            <w:noWrap/>
            <w:vAlign w:val="bottom"/>
            <w:hideMark/>
          </w:tcPr>
          <w:p w14:paraId="68784E88" w14:textId="77777777" w:rsidR="008D41D7" w:rsidRPr="006F4D00" w:rsidRDefault="008D41D7" w:rsidP="008607AC">
            <w:pPr>
              <w:rPr>
                <w:color w:val="000000"/>
                <w:sz w:val="20"/>
                <w:szCs w:val="20"/>
              </w:rPr>
            </w:pPr>
            <w:r w:rsidRPr="006F4D00">
              <w:rPr>
                <w:color w:val="000000"/>
                <w:sz w:val="20"/>
                <w:szCs w:val="20"/>
              </w:rPr>
              <w:t xml:space="preserve"> Commodities and transactions not elsewhere classified (7)</w:t>
            </w:r>
          </w:p>
        </w:tc>
      </w:tr>
    </w:tbl>
    <w:p w14:paraId="74D54BEB" w14:textId="77777777" w:rsidR="008607AC" w:rsidRPr="00926CAC" w:rsidRDefault="008607AC" w:rsidP="00FD5777">
      <w:pPr>
        <w:jc w:val="center"/>
        <w:rPr>
          <w:b/>
        </w:rPr>
      </w:pPr>
    </w:p>
    <w:sectPr w:rsidR="008607AC" w:rsidRPr="00926CAC" w:rsidSect="006A00B7">
      <w:footerReference w:type="even" r:id="rId14"/>
      <w:footerReference w:type="default" r:id="rId15"/>
      <w:pgSz w:w="11909" w:h="16834"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6DBD77" w14:textId="77777777" w:rsidR="00D6461A" w:rsidRDefault="00D6461A" w:rsidP="00A91E23">
      <w:r>
        <w:separator/>
      </w:r>
    </w:p>
  </w:endnote>
  <w:endnote w:type="continuationSeparator" w:id="0">
    <w:p w14:paraId="428B971C" w14:textId="77777777" w:rsidR="00D6461A" w:rsidRDefault="00D6461A" w:rsidP="00A91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SimSun">
    <w:altName w:val="宋体"/>
    <w:charset w:val="86"/>
    <w:family w:val="auto"/>
    <w:pitch w:val="variable"/>
    <w:sig w:usb0="00000003" w:usb1="080E0000" w:usb2="00000010" w:usb3="00000000" w:csb0="00040001" w:csb1="00000000"/>
  </w:font>
  <w:font w:name="Tahoma">
    <w:panose1 w:val="020B0604030504040204"/>
    <w:charset w:val="00"/>
    <w:family w:val="auto"/>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宋体">
    <w:charset w:val="50"/>
    <w:family w:val="auto"/>
    <w:pitch w:val="variable"/>
    <w:sig w:usb0="00000001" w:usb1="080E0000" w:usb2="00000010" w:usb3="00000000" w:csb0="0004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03D9C6" w14:textId="77777777" w:rsidR="00E75E00" w:rsidRDefault="00AF62C9" w:rsidP="00237AA1">
    <w:pPr>
      <w:pStyle w:val="Footer"/>
      <w:framePr w:wrap="around" w:vAnchor="text" w:hAnchor="margin" w:xAlign="center" w:y="1"/>
      <w:rPr>
        <w:rStyle w:val="PageNumber"/>
      </w:rPr>
    </w:pPr>
    <w:r>
      <w:rPr>
        <w:rStyle w:val="PageNumber"/>
      </w:rPr>
      <w:fldChar w:fldCharType="begin"/>
    </w:r>
    <w:r w:rsidR="00E75E00">
      <w:rPr>
        <w:rStyle w:val="PageNumber"/>
      </w:rPr>
      <w:instrText xml:space="preserve">PAGE  </w:instrText>
    </w:r>
    <w:r>
      <w:rPr>
        <w:rStyle w:val="PageNumber"/>
      </w:rPr>
      <w:fldChar w:fldCharType="end"/>
    </w:r>
  </w:p>
  <w:p w14:paraId="3BC676A5" w14:textId="77777777" w:rsidR="00E75E00" w:rsidRDefault="00E75E0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0CE8EC" w14:textId="77777777" w:rsidR="00E75E00" w:rsidRDefault="00AF62C9" w:rsidP="00237AA1">
    <w:pPr>
      <w:pStyle w:val="Footer"/>
      <w:framePr w:wrap="around" w:vAnchor="text" w:hAnchor="margin" w:xAlign="center" w:y="1"/>
      <w:rPr>
        <w:rStyle w:val="PageNumber"/>
      </w:rPr>
    </w:pPr>
    <w:r>
      <w:rPr>
        <w:rStyle w:val="PageNumber"/>
      </w:rPr>
      <w:fldChar w:fldCharType="begin"/>
    </w:r>
    <w:r w:rsidR="00E75E00">
      <w:rPr>
        <w:rStyle w:val="PageNumber"/>
      </w:rPr>
      <w:instrText xml:space="preserve">PAGE  </w:instrText>
    </w:r>
    <w:r>
      <w:rPr>
        <w:rStyle w:val="PageNumber"/>
      </w:rPr>
      <w:fldChar w:fldCharType="separate"/>
    </w:r>
    <w:r w:rsidR="001521FE">
      <w:rPr>
        <w:rStyle w:val="PageNumber"/>
        <w:noProof/>
      </w:rPr>
      <w:t>33</w:t>
    </w:r>
    <w:r>
      <w:rPr>
        <w:rStyle w:val="PageNumber"/>
      </w:rPr>
      <w:fldChar w:fldCharType="end"/>
    </w:r>
  </w:p>
  <w:p w14:paraId="725049C6" w14:textId="77777777" w:rsidR="00E75E00" w:rsidRDefault="00E75E0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63EAC9" w14:textId="77777777" w:rsidR="00D6461A" w:rsidRDefault="00D6461A" w:rsidP="00A91E23">
      <w:r>
        <w:separator/>
      </w:r>
    </w:p>
  </w:footnote>
  <w:footnote w:type="continuationSeparator" w:id="0">
    <w:p w14:paraId="42ECE1E4" w14:textId="77777777" w:rsidR="00D6461A" w:rsidRDefault="00D6461A" w:rsidP="00A91E23">
      <w:r>
        <w:continuationSeparator/>
      </w:r>
    </w:p>
  </w:footnote>
  <w:footnote w:id="1">
    <w:p w14:paraId="3F8A9FE3" w14:textId="77777777" w:rsidR="00E75E00" w:rsidRPr="00B53FC4" w:rsidRDefault="00E75E00" w:rsidP="00A91E23">
      <w:pPr>
        <w:rPr>
          <w:sz w:val="20"/>
          <w:szCs w:val="20"/>
        </w:rPr>
      </w:pPr>
      <w:r>
        <w:rPr>
          <w:rStyle w:val="FootnoteReference"/>
        </w:rPr>
        <w:footnoteRef/>
      </w:r>
      <w:r w:rsidRPr="005620D0">
        <w:rPr>
          <w:sz w:val="20"/>
          <w:szCs w:val="20"/>
        </w:rPr>
        <w:t>Address</w:t>
      </w:r>
      <w:r>
        <w:rPr>
          <w:sz w:val="20"/>
          <w:szCs w:val="20"/>
        </w:rPr>
        <w:t>es</w:t>
      </w:r>
      <w:r w:rsidRPr="005620D0">
        <w:rPr>
          <w:sz w:val="20"/>
          <w:szCs w:val="20"/>
        </w:rPr>
        <w:t xml:space="preserve"> for Correspondence:</w:t>
      </w:r>
      <w:r>
        <w:rPr>
          <w:sz w:val="20"/>
          <w:szCs w:val="20"/>
        </w:rPr>
        <w:t xml:space="preserve"> Daniel M. Bernhofen, </w:t>
      </w:r>
      <w:r w:rsidRPr="005620D0">
        <w:rPr>
          <w:sz w:val="20"/>
          <w:szCs w:val="20"/>
        </w:rPr>
        <w:t>School of Economics</w:t>
      </w:r>
      <w:r>
        <w:rPr>
          <w:sz w:val="20"/>
          <w:szCs w:val="20"/>
        </w:rPr>
        <w:t xml:space="preserve">, </w:t>
      </w:r>
      <w:r w:rsidRPr="005620D0">
        <w:rPr>
          <w:sz w:val="20"/>
          <w:szCs w:val="20"/>
        </w:rPr>
        <w:t xml:space="preserve">University of Nottingham, University Park, Nottingham, NG7 2 RD, UK. Tel: 44 115 846 7055, Fax: 44 115 951 4159, email: </w:t>
      </w:r>
      <w:hyperlink r:id="rId1" w:history="1">
        <w:r w:rsidRPr="0070056F">
          <w:rPr>
            <w:rStyle w:val="Hyperlink"/>
            <w:sz w:val="20"/>
            <w:szCs w:val="20"/>
          </w:rPr>
          <w:t>daniel.bernhofen@nottingham.ac.uk</w:t>
        </w:r>
      </w:hyperlink>
      <w:r>
        <w:rPr>
          <w:sz w:val="20"/>
          <w:szCs w:val="20"/>
        </w:rPr>
        <w:t xml:space="preserve"> .</w:t>
      </w:r>
    </w:p>
  </w:footnote>
  <w:footnote w:id="2">
    <w:p w14:paraId="44248FC5" w14:textId="77777777" w:rsidR="00E75E00" w:rsidRDefault="00E75E00" w:rsidP="00A91E23">
      <w:pPr>
        <w:pStyle w:val="FootnoteText"/>
      </w:pPr>
      <w:r w:rsidRPr="00B0495C">
        <w:rPr>
          <w:rStyle w:val="FootnoteReference"/>
        </w:rPr>
        <w:footnoteRef/>
      </w:r>
      <w:r w:rsidRPr="00B0495C">
        <w:t xml:space="preserve"> We acknowledge financi</w:t>
      </w:r>
      <w:r>
        <w:t xml:space="preserve">al support from the </w:t>
      </w:r>
      <w:r w:rsidRPr="00B0495C">
        <w:t xml:space="preserve">Leverhulme Trust Grant F/00 114/AM.  </w:t>
      </w:r>
      <w:r>
        <w:t>Earlier versions of this paper were presented at a 2011 CES-ifo Economic Studies Conference, 2011 ETSG in Copenhagen, a CES-ifo-GEP 2011 joint conference in Munich, and at seminars at the World Bank, American University, Bordeaux,  City University Hong Kong,</w:t>
      </w:r>
    </w:p>
    <w:p w14:paraId="49AC5D45" w14:textId="77777777" w:rsidR="00E75E00" w:rsidRPr="00B0495C" w:rsidRDefault="00E75E00" w:rsidP="00A91E23">
      <w:pPr>
        <w:pStyle w:val="FootnoteText"/>
      </w:pPr>
      <w:r>
        <w:t>FIW Vienna, Florida International, Lund, Nottingham-UK, Nottingham-Ningbo, Shanghai University of Finance and Economics, Strathclyde and Zhejiang University. We benefitted from discussions with Jeff Bergstrand, Sourafel Girma, Wolfgang Keller, Thierry Maier, Chris Milner and Richard Upward.</w:t>
      </w:r>
    </w:p>
  </w:footnote>
  <w:footnote w:id="3">
    <w:p w14:paraId="7482FEB3" w14:textId="77777777" w:rsidR="00E75E00" w:rsidRPr="00D26040" w:rsidRDefault="00E75E00">
      <w:pPr>
        <w:pStyle w:val="FootnoteText"/>
        <w:rPr>
          <w:lang w:val="en-GB"/>
        </w:rPr>
      </w:pPr>
      <w:r>
        <w:rPr>
          <w:rStyle w:val="FootnoteReference"/>
        </w:rPr>
        <w:footnoteRef/>
      </w:r>
      <w:r>
        <w:t xml:space="preserve"> See </w:t>
      </w:r>
      <w:r>
        <w:rPr>
          <w:lang w:val="en-GB"/>
        </w:rPr>
        <w:t>Krugman (1995) for a prominent discussion on the growth of world trade.</w:t>
      </w:r>
    </w:p>
  </w:footnote>
  <w:footnote w:id="4">
    <w:p w14:paraId="607202AD" w14:textId="77777777" w:rsidR="00E75E00" w:rsidRPr="00E141C8" w:rsidRDefault="00E75E00" w:rsidP="00A91E23">
      <w:pPr>
        <w:pStyle w:val="FootnoteText"/>
        <w:rPr>
          <w:lang w:val="en-GB"/>
        </w:rPr>
      </w:pPr>
      <w:r>
        <w:rPr>
          <w:rStyle w:val="FootnoteReference"/>
        </w:rPr>
        <w:footnoteRef/>
      </w:r>
      <w:r>
        <w:rPr>
          <w:lang w:val="en-GB"/>
        </w:rPr>
        <w:t xml:space="preserve">See Levinsohn (2006) and Donovan and Booney (2006) for good overviews of containerization and references to case studies on the effects of containerization from a business history perspective.  </w:t>
      </w:r>
    </w:p>
  </w:footnote>
  <w:footnote w:id="5">
    <w:p w14:paraId="10DD8530" w14:textId="77777777" w:rsidR="00E75E00" w:rsidRDefault="00E75E00" w:rsidP="00BE52E5">
      <w:pPr>
        <w:pStyle w:val="FootnoteText"/>
      </w:pPr>
      <w:r>
        <w:rPr>
          <w:rStyle w:val="FootnoteReference"/>
        </w:rPr>
        <w:footnoteRef/>
      </w:r>
      <w:r>
        <w:t xml:space="preserve"> See McKinsey, (1967, 1972) and the various issues in Containerization International (1970-1992).</w:t>
      </w:r>
    </w:p>
  </w:footnote>
  <w:footnote w:id="6">
    <w:p w14:paraId="1D4B29DA" w14:textId="77777777" w:rsidR="00E75E00" w:rsidRPr="00811E7A" w:rsidRDefault="00E75E00" w:rsidP="00A91E23">
      <w:pPr>
        <w:pStyle w:val="FootnoteText"/>
      </w:pPr>
      <w:r>
        <w:rPr>
          <w:rStyle w:val="FootnoteReference"/>
        </w:rPr>
        <w:footnoteRef/>
      </w:r>
      <w:r>
        <w:t xml:space="preserve"> Since the adjustment of container transportation via truck followed the adoption of port and railway container facilities we capture the main modes of cargo transport during this period.  </w:t>
      </w:r>
    </w:p>
  </w:footnote>
  <w:footnote w:id="7">
    <w:p w14:paraId="67915880" w14:textId="77777777" w:rsidR="00E75E00" w:rsidRPr="006D45CD" w:rsidRDefault="00E75E00" w:rsidP="006D45CD">
      <w:pPr>
        <w:pStyle w:val="FootnoteText"/>
        <w:rPr>
          <w:lang w:val="en-GB"/>
        </w:rPr>
      </w:pPr>
      <w:r>
        <w:rPr>
          <w:rStyle w:val="FootnoteReference"/>
        </w:rPr>
        <w:footnoteRef/>
      </w:r>
      <w:r>
        <w:t xml:space="preserve"> </w:t>
      </w:r>
      <w:r>
        <w:rPr>
          <w:lang w:val="en-GB"/>
        </w:rPr>
        <w:t>See Feenstra (2004, p.161-163) for a good discussion on the use of country fixed effects to deal with multilateral resistance.</w:t>
      </w:r>
    </w:p>
  </w:footnote>
  <w:footnote w:id="8">
    <w:p w14:paraId="4DFD0B34" w14:textId="77777777" w:rsidR="00E75E00" w:rsidRPr="00810C27" w:rsidRDefault="00E75E00" w:rsidP="00A91E23">
      <w:pPr>
        <w:pStyle w:val="FootnoteText"/>
        <w:rPr>
          <w:lang w:val="en-GB"/>
        </w:rPr>
      </w:pPr>
      <w:r>
        <w:rPr>
          <w:rStyle w:val="FootnoteReference"/>
        </w:rPr>
        <w:footnoteRef/>
      </w:r>
      <w:r>
        <w:t xml:space="preserve"> Donaldson (2012) tests several hypotheses of the effects of railroads that he derives from a multi-region, multi-commodity Ricardian trade model.  </w:t>
      </w:r>
      <w:r>
        <w:rPr>
          <w:lang w:val="en-GB"/>
        </w:rPr>
        <w:t xml:space="preserve">Hurd (1975) follows Fogel (1964) in applying a social savings methodology to estimate the impacts of Indian railroad construction. </w:t>
      </w:r>
    </w:p>
  </w:footnote>
  <w:footnote w:id="9">
    <w:p w14:paraId="7FA3A886" w14:textId="77777777" w:rsidR="00E75E00" w:rsidRPr="0086140E" w:rsidRDefault="00E75E00" w:rsidP="00A91E23">
      <w:pPr>
        <w:pStyle w:val="FootnoteText"/>
      </w:pPr>
      <w:r>
        <w:rPr>
          <w:rStyle w:val="FootnoteReference"/>
        </w:rPr>
        <w:footnoteRef/>
      </w:r>
      <w:r>
        <w:t xml:space="preserve"> Because of data limitations, Baier and Bergstrand (2001, Table 1, p.14) use only a multi-lateral rather than a bilateral index of changes in transportation costs. Their index suggests that Austria’s transportation costs versus the rest of the world has actually increased between 1958 and 1986, which does not appear plausible. Although land-locked, Austria has been an early entrant in the container age through their construction of container railway terminals in 1968 which connected it to the main container ports in Europe.  </w:t>
      </w:r>
    </w:p>
  </w:footnote>
  <w:footnote w:id="10">
    <w:p w14:paraId="44850654" w14:textId="77777777" w:rsidR="00E75E00" w:rsidRPr="00C95788" w:rsidRDefault="00E75E00" w:rsidP="00A91E23">
      <w:pPr>
        <w:pStyle w:val="FootnoteText"/>
        <w:rPr>
          <w:lang w:val="en-GB"/>
        </w:rPr>
      </w:pPr>
      <w:r>
        <w:rPr>
          <w:rStyle w:val="FootnoteReference"/>
        </w:rPr>
        <w:footnoteRef/>
      </w:r>
      <w:r>
        <w:t xml:space="preserve"> </w:t>
      </w:r>
      <w:r>
        <w:rPr>
          <w:lang w:val="en-GB"/>
        </w:rPr>
        <w:t xml:space="preserve">Another study that investigates the effects of containerization on US imports in the post adoption period is Blonigen and Wilson (2008). Building on Clark, Dollar and Micco (2004), they estimate the effects of port efficiency measures on bilateral trade flows and find that increasing the share of trade that is containerized by 1 percent lowers shipping costs by only 0.05 percent.  </w:t>
      </w:r>
    </w:p>
  </w:footnote>
  <w:footnote w:id="11">
    <w:p w14:paraId="3E50A2DA" w14:textId="77777777" w:rsidR="00E75E00" w:rsidRDefault="00E75E00" w:rsidP="00A91E23">
      <w:pPr>
        <w:pStyle w:val="FootnoteText"/>
      </w:pPr>
      <w:r>
        <w:rPr>
          <w:rStyle w:val="FootnoteReference"/>
        </w:rPr>
        <w:footnoteRef/>
      </w:r>
      <w:r>
        <w:t xml:space="preserve"> Baier and Bergstrand (2001) are quite honest in pointing out that their final goods framework excludes this potential source of the growth of world trade.</w:t>
      </w:r>
    </w:p>
  </w:footnote>
  <w:footnote w:id="12">
    <w:p w14:paraId="368452F9" w14:textId="77777777" w:rsidR="00E75E00" w:rsidRDefault="00E75E00" w:rsidP="00A91E23">
      <w:pPr>
        <w:pStyle w:val="FootnoteText"/>
      </w:pPr>
      <w:r>
        <w:rPr>
          <w:rStyle w:val="FootnoteReference"/>
        </w:rPr>
        <w:footnoteRef/>
      </w:r>
      <w:r>
        <w:t xml:space="preserve"> See Levinson (2006, p. 65).</w:t>
      </w:r>
    </w:p>
  </w:footnote>
  <w:footnote w:id="13">
    <w:p w14:paraId="0D6FE2C4" w14:textId="77777777" w:rsidR="00E75E00" w:rsidRPr="00D63EED" w:rsidRDefault="00E75E00" w:rsidP="00A91E23">
      <w:pPr>
        <w:pStyle w:val="FootnoteText"/>
      </w:pPr>
      <w:r>
        <w:rPr>
          <w:rStyle w:val="FootnoteReference"/>
        </w:rPr>
        <w:footnoteRef/>
      </w:r>
      <w:r>
        <w:t xml:space="preserve"> Australia was the first country to follow the US and adopted container technology in 1964, but not in international trade.  </w:t>
      </w:r>
    </w:p>
  </w:footnote>
  <w:footnote w:id="14">
    <w:p w14:paraId="185B378C" w14:textId="77777777" w:rsidR="00E75E00" w:rsidRDefault="00E75E00" w:rsidP="00A91E23">
      <w:pPr>
        <w:pStyle w:val="FootnoteText"/>
      </w:pPr>
      <w:r>
        <w:rPr>
          <w:rStyle w:val="FootnoteReference"/>
        </w:rPr>
        <w:footnoteRef/>
      </w:r>
      <w:r>
        <w:t xml:space="preserve"> Reliable data on comparable changes in door-to-door and ocean freight rates before and after containerization are not available. However, Eyre (1964) uses data from the American Association of Port Authorities to illustrate the composition of estimated door-to-door costs of shipping one truckload of Medicine from Chicago to Nancy (France) in the pre-container age. Astonishingly, ocean shipping amounted only 24.4% of total costs, whereas total port costs constituted 48.7%, freight to the US port city 14.3%, European inland freight 8.6% and local freight in port vicinity 4%. This supports the view that the bulk of costs savings from containerization stemmed from efficiency gains in the sea-land interface.  </w:t>
      </w:r>
    </w:p>
  </w:footnote>
  <w:footnote w:id="15">
    <w:p w14:paraId="7E6EAE21" w14:textId="77777777" w:rsidR="00E75E00" w:rsidRPr="007D1D6E" w:rsidRDefault="00E75E00">
      <w:pPr>
        <w:pStyle w:val="FootnoteText"/>
        <w:rPr>
          <w:lang w:val="en-GB"/>
        </w:rPr>
      </w:pPr>
      <w:r>
        <w:rPr>
          <w:rStyle w:val="FootnoteReference"/>
        </w:rPr>
        <w:footnoteRef/>
      </w:r>
      <w:r>
        <w:t xml:space="preserve"> </w:t>
      </w:r>
      <w:r>
        <w:rPr>
          <w:lang w:val="en-GB"/>
        </w:rPr>
        <w:t xml:space="preserve">We thank David Smith, Economics Editor of the </w:t>
      </w:r>
      <w:r w:rsidRPr="007D1D6E">
        <w:rPr>
          <w:i/>
          <w:lang w:val="en-GB"/>
        </w:rPr>
        <w:t>Sunday Times</w:t>
      </w:r>
      <w:r>
        <w:rPr>
          <w:lang w:val="en-GB"/>
        </w:rPr>
        <w:t xml:space="preserve">, for pointing out the elimination of strikes as a channel for cost reductions from containerization. </w:t>
      </w:r>
    </w:p>
  </w:footnote>
  <w:footnote w:id="16">
    <w:p w14:paraId="771B11A2" w14:textId="77777777" w:rsidR="00E75E00" w:rsidRPr="000C1E1F" w:rsidRDefault="00E75E00">
      <w:pPr>
        <w:pStyle w:val="FootnoteText"/>
        <w:rPr>
          <w:lang w:val="en-GB"/>
        </w:rPr>
      </w:pPr>
      <w:r>
        <w:rPr>
          <w:rStyle w:val="FootnoteReference"/>
        </w:rPr>
        <w:footnoteRef/>
      </w:r>
      <w:r>
        <w:t xml:space="preserve"> According to Kuby and Reid (1992, p.285) “…after 1982 the industry reached maturity, characterized by low margins and greatly improved services….the containerization trend stabilized between 1985 and 1988, as near-saturation of the new technology occurred.”</w:t>
      </w:r>
    </w:p>
  </w:footnote>
  <w:footnote w:id="17">
    <w:p w14:paraId="6480788C" w14:textId="77777777" w:rsidR="00E75E00" w:rsidRPr="00E6733C" w:rsidRDefault="00E75E00" w:rsidP="00E94A30">
      <w:pPr>
        <w:pStyle w:val="FootnoteText"/>
      </w:pPr>
      <w:r>
        <w:rPr>
          <w:rStyle w:val="FootnoteReference"/>
        </w:rPr>
        <w:footnoteRef/>
      </w:r>
      <w:r>
        <w:t xml:space="preserve"> The engineering study classifies industries into Class A: suitable for containers, Class B: goods of  limited suitability for containers and Class C: goods not suitable for containers as of 1968.  For the purpose of constructing our container utilization index, we only include goods in Class A as containerizable. </w:t>
      </w:r>
    </w:p>
  </w:footnote>
  <w:footnote w:id="18">
    <w:p w14:paraId="2F9D8713" w14:textId="77777777" w:rsidR="00E75E00" w:rsidRPr="005F1DD0" w:rsidRDefault="00E75E00" w:rsidP="00FC15C0">
      <w:pPr>
        <w:pStyle w:val="FootnoteText"/>
      </w:pPr>
      <w:r>
        <w:rPr>
          <w:rStyle w:val="FootnoteReference"/>
        </w:rPr>
        <w:footnoteRef/>
      </w:r>
      <w:r>
        <w:t xml:space="preserve"> Between 1965 and 1979, 99% of UK trade went through sea ports.</w:t>
      </w:r>
    </w:p>
  </w:footnote>
  <w:footnote w:id="19">
    <w:p w14:paraId="4953B32D" w14:textId="77777777" w:rsidR="00E75E00" w:rsidRPr="00EA7803" w:rsidRDefault="00E75E00" w:rsidP="003022DE">
      <w:pPr>
        <w:pStyle w:val="FootnoteText"/>
      </w:pPr>
      <w:r>
        <w:rPr>
          <w:rStyle w:val="FootnoteReference"/>
        </w:rPr>
        <w:footnoteRef/>
      </w:r>
      <w:r>
        <w:t xml:space="preserve"> Total trade is defined as (exports+imports)/2.  Because of missing data in the years of container adoption, the graph depicts linear segments between 1965 and 1967 for the UK and between 1968 and 1970 for Japan.</w:t>
      </w:r>
    </w:p>
  </w:footnote>
  <w:footnote w:id="20">
    <w:p w14:paraId="2B0DA5EF" w14:textId="77777777" w:rsidR="00E75E00" w:rsidRPr="007042F0" w:rsidRDefault="00E75E00" w:rsidP="00A91E23">
      <w:pPr>
        <w:pStyle w:val="FootnoteText"/>
        <w:rPr>
          <w:lang w:val="en-GB"/>
        </w:rPr>
      </w:pPr>
      <w:r>
        <w:rPr>
          <w:rStyle w:val="FootnoteReference"/>
        </w:rPr>
        <w:footnoteRef/>
      </w:r>
      <w:r>
        <w:t xml:space="preserve"> </w:t>
      </w:r>
      <w:r>
        <w:rPr>
          <w:lang w:val="en-GB"/>
        </w:rPr>
        <w:t>At the time, British Rail was already operating a cellular ship service between Harwich, Zeebrugge and Rotterdam and a freightliner service between London and Paris. Initially 11 European countries formed Intercontainer and were later joined by 8 more.</w:t>
      </w:r>
    </w:p>
  </w:footnote>
  <w:footnote w:id="21">
    <w:p w14:paraId="45A37A78" w14:textId="77777777" w:rsidR="00E75E00" w:rsidRPr="00F6080F" w:rsidRDefault="00E75E00">
      <w:pPr>
        <w:pStyle w:val="FootnoteText"/>
        <w:rPr>
          <w:lang w:val="en-GB"/>
        </w:rPr>
      </w:pPr>
      <w:r>
        <w:rPr>
          <w:rStyle w:val="FootnoteReference"/>
        </w:rPr>
        <w:footnoteRef/>
      </w:r>
      <w:r>
        <w:t xml:space="preserve"> We are not aware of any studies that document the </w:t>
      </w:r>
      <w:r>
        <w:rPr>
          <w:lang w:val="en-GB"/>
        </w:rPr>
        <w:t>spread of road containerization equivalent to that for port or rail containerization. The historical narrative suggests however that the developed countries that we focus on this was concurrent to port and/or rail containerization. Outside of this the assumption is less certain. We found for example photographic evidence that the Comoros Islands were using containers without either rail or port container depots (they were instead dropped onto modified rowing boats).</w:t>
      </w:r>
    </w:p>
  </w:footnote>
  <w:footnote w:id="22">
    <w:p w14:paraId="2B9E33B9" w14:textId="77777777" w:rsidR="00E75E00" w:rsidRPr="006A7700" w:rsidRDefault="00E75E00">
      <w:pPr>
        <w:pStyle w:val="FootnoteText"/>
        <w:rPr>
          <w:lang w:val="en-GB"/>
        </w:rPr>
      </w:pPr>
      <w:r>
        <w:rPr>
          <w:rStyle w:val="FootnoteReference"/>
        </w:rPr>
        <w:footnoteRef/>
      </w:r>
      <w:r>
        <w:t xml:space="preserve"> </w:t>
      </w:r>
      <w:r>
        <w:rPr>
          <w:lang w:val="en-GB"/>
        </w:rPr>
        <w:t>Rua (2012) also finds that labor costs and trade with the US to have a neutral or negative effect on the adoption  of containerization.  This implies that adoption decisions were not necessarily driven by economic fundamentals.</w:t>
      </w:r>
    </w:p>
  </w:footnote>
  <w:footnote w:id="23">
    <w:p w14:paraId="6F3309C9" w14:textId="77777777" w:rsidR="00E75E00" w:rsidRPr="007842E1" w:rsidRDefault="00E75E00" w:rsidP="00585D06">
      <w:pPr>
        <w:pStyle w:val="FootnoteText"/>
      </w:pPr>
      <w:r>
        <w:rPr>
          <w:rStyle w:val="FootnoteReference"/>
        </w:rPr>
        <w:footnoteRef/>
      </w:r>
      <w:r>
        <w:t xml:space="preserve"> The data set is constructed from the United Nations trade data and is available from NBER.</w:t>
      </w:r>
    </w:p>
  </w:footnote>
  <w:footnote w:id="24">
    <w:p w14:paraId="140B4C19" w14:textId="77777777" w:rsidR="00E75E00" w:rsidRPr="001C2500" w:rsidRDefault="00E75E00">
      <w:pPr>
        <w:pStyle w:val="FootnoteText"/>
        <w:rPr>
          <w:lang w:val="en-GB"/>
        </w:rPr>
      </w:pPr>
      <w:r>
        <w:rPr>
          <w:rStyle w:val="FootnoteReference"/>
        </w:rPr>
        <w:footnoteRef/>
      </w:r>
      <w:r>
        <w:t xml:space="preserve"> Recall that we used this classification of our utilization index (1) used in Figure 2. A caveat in applying this classification on a longer time period is that it is based on the state of container technology in 1968. Although we have learned that some sectors, like food, have become containerizable in the 1970s, we are not aware of any systematic study which traces changes in containerizability over time. For example different reefer technologies (refrigerated containers) were developed concurrently by competitor firms and vied for trade with reefer ships. Reefer technologies are therefore commonly dated within the literature only as ‘the early 1980s’.</w:t>
      </w:r>
    </w:p>
  </w:footnote>
  <w:footnote w:id="25">
    <w:p w14:paraId="10731A1A" w14:textId="77777777" w:rsidR="00E75E00" w:rsidRPr="009543FF" w:rsidRDefault="00E75E00">
      <w:pPr>
        <w:pStyle w:val="FootnoteText"/>
        <w:rPr>
          <w:lang w:val="en-GB"/>
        </w:rPr>
      </w:pPr>
      <w:r>
        <w:rPr>
          <w:rStyle w:val="FootnoteReference"/>
        </w:rPr>
        <w:footnoteRef/>
      </w:r>
      <w:r>
        <w:t xml:space="preserve"> See Bergstrand and Egger (2011) and Feenstra (2004, chapter 5) for good surveys of the gravity literature.</w:t>
      </w:r>
    </w:p>
  </w:footnote>
  <w:footnote w:id="26">
    <w:p w14:paraId="2ABD01B5" w14:textId="77777777" w:rsidR="00E75E00" w:rsidRPr="009B2E25" w:rsidRDefault="00E75E00">
      <w:pPr>
        <w:pStyle w:val="FootnoteText"/>
        <w:rPr>
          <w:lang w:val="en-GB"/>
        </w:rPr>
      </w:pPr>
      <w:r>
        <w:rPr>
          <w:rStyle w:val="FootnoteReference"/>
        </w:rPr>
        <w:footnoteRef/>
      </w:r>
      <w:r>
        <w:t xml:space="preserve"> Since the country-time fixed effects preclude the inclusion of time-varying ‘economic mass’ variables like GDP and GDP per capita, we refrain from calling our specification a gravity equation.</w:t>
      </w:r>
    </w:p>
  </w:footnote>
  <w:footnote w:id="27">
    <w:p w14:paraId="2FF74151" w14:textId="77777777" w:rsidR="00E75E00" w:rsidRPr="003B3AB6" w:rsidRDefault="00E75E00">
      <w:pPr>
        <w:pStyle w:val="FootnoteText"/>
        <w:rPr>
          <w:lang w:val="en-GB"/>
        </w:rPr>
      </w:pPr>
      <w:r>
        <w:rPr>
          <w:rStyle w:val="FootnoteReference"/>
        </w:rPr>
        <w:footnoteRef/>
      </w:r>
      <w:r>
        <w:t xml:space="preserve"> </w:t>
      </w:r>
      <w:r>
        <w:rPr>
          <w:lang w:val="en-GB"/>
        </w:rPr>
        <w:t>We experimented with time periods of different lengths, but this has little effect on the main findings from the paper.</w:t>
      </w:r>
    </w:p>
  </w:footnote>
  <w:footnote w:id="28">
    <w:p w14:paraId="3B917B9F" w14:textId="77777777" w:rsidR="00E75E00" w:rsidRPr="00687FE6" w:rsidRDefault="00E75E00" w:rsidP="003D6E05">
      <w:pPr>
        <w:pStyle w:val="FootnoteText"/>
        <w:rPr>
          <w:lang w:val="en-GB"/>
        </w:rPr>
      </w:pPr>
      <w:r>
        <w:rPr>
          <w:rStyle w:val="FootnoteReference"/>
        </w:rPr>
        <w:footnoteRef/>
      </w:r>
      <w:r>
        <w:t xml:space="preserve"> </w:t>
      </w:r>
      <w:r>
        <w:rPr>
          <w:lang w:val="en-GB"/>
        </w:rPr>
        <w:t>Also given the limits of computer power available to us first differencing is a necessary transformation of the data.</w:t>
      </w:r>
    </w:p>
  </w:footnote>
  <w:footnote w:id="29">
    <w:p w14:paraId="57404945" w14:textId="77777777" w:rsidR="00E75E00" w:rsidRPr="001C6193" w:rsidRDefault="00E75E00">
      <w:pPr>
        <w:pStyle w:val="FootnoteText"/>
        <w:rPr>
          <w:lang w:val="en-GB"/>
        </w:rPr>
      </w:pPr>
      <w:r>
        <w:rPr>
          <w:rStyle w:val="FootnoteReference"/>
        </w:rPr>
        <w:footnoteRef/>
      </w:r>
      <w:r>
        <w:t xml:space="preserve"> </w:t>
      </w:r>
      <w:r>
        <w:rPr>
          <w:lang w:val="en-GB"/>
        </w:rPr>
        <w:t xml:space="preserve">Our selection criteria was OECD membership as of 1990. It is probably of no coincidence that these countries were also almost all early adopters of the container and indeed that could be used as an alternative label for this group. The countries are identified in Appendix Table 3. </w:t>
      </w:r>
    </w:p>
  </w:footnote>
  <w:footnote w:id="30">
    <w:p w14:paraId="5847B2FB" w14:textId="77777777" w:rsidR="00E75E00" w:rsidRPr="008D7255" w:rsidRDefault="00E75E00" w:rsidP="00E1437F">
      <w:pPr>
        <w:pStyle w:val="FootnoteText"/>
        <w:rPr>
          <w:lang w:val="en-GB"/>
        </w:rPr>
      </w:pPr>
      <w:r>
        <w:rPr>
          <w:rStyle w:val="FootnoteReference"/>
        </w:rPr>
        <w:footnoteRef/>
      </w:r>
      <w:r>
        <w:t xml:space="preserve"> </w:t>
      </w:r>
      <w:r>
        <w:rPr>
          <w:lang w:val="en-GB"/>
        </w:rPr>
        <w:t xml:space="preserve">In communication with the creators of the data base we were told that the missing observations are really missing. So contrary to what one reads in the empirical trade literature, measurement error appears to be the bigger issue than the prevalence of zero observations.   </w:t>
      </w:r>
    </w:p>
  </w:footnote>
  <w:footnote w:id="31">
    <w:p w14:paraId="51AA3BFF" w14:textId="77777777" w:rsidR="00E75E00" w:rsidRPr="00ED681C" w:rsidRDefault="00E75E00" w:rsidP="0063200F">
      <w:pPr>
        <w:pStyle w:val="FootnoteText"/>
        <w:rPr>
          <w:lang w:val="en-GB"/>
        </w:rPr>
      </w:pPr>
      <w:r>
        <w:rPr>
          <w:rStyle w:val="FootnoteReference"/>
        </w:rPr>
        <w:footnoteRef/>
      </w:r>
      <w:r>
        <w:t xml:space="preserve"> </w:t>
      </w:r>
      <w:r>
        <w:rPr>
          <w:lang w:val="en-GB"/>
        </w:rPr>
        <w:t>The cumulative ATE is sum of the concurrent and lagged effects.</w:t>
      </w:r>
    </w:p>
  </w:footnote>
  <w:footnote w:id="32">
    <w:p w14:paraId="0ACC864C" w14:textId="77777777" w:rsidR="00E75E00" w:rsidRPr="00AE58F8" w:rsidRDefault="00E75E00">
      <w:pPr>
        <w:pStyle w:val="FootnoteText"/>
        <w:rPr>
          <w:lang w:val="en-GB"/>
        </w:rPr>
      </w:pPr>
      <w:r>
        <w:rPr>
          <w:rStyle w:val="FootnoteReference"/>
        </w:rPr>
        <w:footnoteRef/>
      </w:r>
      <w:r>
        <w:t xml:space="preserve"> However, we should remind the reader that our classification of containerizability pertains to the state of technology in 1968. The lack of statistical significance might result from technological innovation expanding the domain of products that could be containerized. </w:t>
      </w:r>
    </w:p>
  </w:footnote>
  <w:footnote w:id="33">
    <w:p w14:paraId="6348D139" w14:textId="77777777" w:rsidR="00E75E00" w:rsidRPr="00844A68" w:rsidRDefault="00E75E00" w:rsidP="00844A68">
      <w:pPr>
        <w:pStyle w:val="FootnoteText"/>
        <w:rPr>
          <w:lang w:val="en-GB"/>
        </w:rPr>
      </w:pPr>
      <w:r>
        <w:rPr>
          <w:rStyle w:val="FootnoteReference"/>
        </w:rPr>
        <w:footnoteRef/>
      </w:r>
      <w:r>
        <w:t xml:space="preserve"> </w:t>
      </w:r>
      <w:r>
        <w:rPr>
          <w:lang w:val="en-GB"/>
        </w:rPr>
        <w:t>A large portion of the 2010 African Development Report is devoted to port capacity and containerization.</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AF7A01"/>
    <w:multiLevelType w:val="hybridMultilevel"/>
    <w:tmpl w:val="4CEEC410"/>
    <w:lvl w:ilvl="0" w:tplc="E99EE1FE">
      <w:start w:val="3"/>
      <w:numFmt w:val="bullet"/>
      <w:lvlText w:val="-"/>
      <w:lvlJc w:val="left"/>
      <w:pPr>
        <w:ind w:left="2100" w:hanging="360"/>
      </w:pPr>
      <w:rPr>
        <w:rFonts w:ascii="Times New Roman" w:eastAsia="Times New Roman" w:hAnsi="Times New Roman" w:cs="Times New Roman" w:hint="default"/>
      </w:rPr>
    </w:lvl>
    <w:lvl w:ilvl="1" w:tplc="08090003" w:tentative="1">
      <w:start w:val="1"/>
      <w:numFmt w:val="bullet"/>
      <w:lvlText w:val="o"/>
      <w:lvlJc w:val="left"/>
      <w:pPr>
        <w:ind w:left="2820" w:hanging="360"/>
      </w:pPr>
      <w:rPr>
        <w:rFonts w:ascii="Courier New" w:hAnsi="Courier New" w:cs="Courier New" w:hint="default"/>
      </w:rPr>
    </w:lvl>
    <w:lvl w:ilvl="2" w:tplc="08090005" w:tentative="1">
      <w:start w:val="1"/>
      <w:numFmt w:val="bullet"/>
      <w:lvlText w:val=""/>
      <w:lvlJc w:val="left"/>
      <w:pPr>
        <w:ind w:left="3540" w:hanging="360"/>
      </w:pPr>
      <w:rPr>
        <w:rFonts w:ascii="Wingdings" w:hAnsi="Wingdings" w:hint="default"/>
      </w:rPr>
    </w:lvl>
    <w:lvl w:ilvl="3" w:tplc="08090001" w:tentative="1">
      <w:start w:val="1"/>
      <w:numFmt w:val="bullet"/>
      <w:lvlText w:val=""/>
      <w:lvlJc w:val="left"/>
      <w:pPr>
        <w:ind w:left="4260" w:hanging="360"/>
      </w:pPr>
      <w:rPr>
        <w:rFonts w:ascii="Symbol" w:hAnsi="Symbol" w:hint="default"/>
      </w:rPr>
    </w:lvl>
    <w:lvl w:ilvl="4" w:tplc="08090003" w:tentative="1">
      <w:start w:val="1"/>
      <w:numFmt w:val="bullet"/>
      <w:lvlText w:val="o"/>
      <w:lvlJc w:val="left"/>
      <w:pPr>
        <w:ind w:left="4980" w:hanging="360"/>
      </w:pPr>
      <w:rPr>
        <w:rFonts w:ascii="Courier New" w:hAnsi="Courier New" w:cs="Courier New" w:hint="default"/>
      </w:rPr>
    </w:lvl>
    <w:lvl w:ilvl="5" w:tplc="08090005" w:tentative="1">
      <w:start w:val="1"/>
      <w:numFmt w:val="bullet"/>
      <w:lvlText w:val=""/>
      <w:lvlJc w:val="left"/>
      <w:pPr>
        <w:ind w:left="5700" w:hanging="360"/>
      </w:pPr>
      <w:rPr>
        <w:rFonts w:ascii="Wingdings" w:hAnsi="Wingdings" w:hint="default"/>
      </w:rPr>
    </w:lvl>
    <w:lvl w:ilvl="6" w:tplc="08090001" w:tentative="1">
      <w:start w:val="1"/>
      <w:numFmt w:val="bullet"/>
      <w:lvlText w:val=""/>
      <w:lvlJc w:val="left"/>
      <w:pPr>
        <w:ind w:left="6420" w:hanging="360"/>
      </w:pPr>
      <w:rPr>
        <w:rFonts w:ascii="Symbol" w:hAnsi="Symbol" w:hint="default"/>
      </w:rPr>
    </w:lvl>
    <w:lvl w:ilvl="7" w:tplc="08090003" w:tentative="1">
      <w:start w:val="1"/>
      <w:numFmt w:val="bullet"/>
      <w:lvlText w:val="o"/>
      <w:lvlJc w:val="left"/>
      <w:pPr>
        <w:ind w:left="7140" w:hanging="360"/>
      </w:pPr>
      <w:rPr>
        <w:rFonts w:ascii="Courier New" w:hAnsi="Courier New" w:cs="Courier New" w:hint="default"/>
      </w:rPr>
    </w:lvl>
    <w:lvl w:ilvl="8" w:tplc="08090005" w:tentative="1">
      <w:start w:val="1"/>
      <w:numFmt w:val="bullet"/>
      <w:lvlText w:val=""/>
      <w:lvlJc w:val="left"/>
      <w:pPr>
        <w:ind w:left="7860" w:hanging="360"/>
      </w:pPr>
      <w:rPr>
        <w:rFonts w:ascii="Wingdings" w:hAnsi="Wingdings" w:hint="default"/>
      </w:rPr>
    </w:lvl>
  </w:abstractNum>
  <w:abstractNum w:abstractNumId="1">
    <w:nsid w:val="45174B8F"/>
    <w:multiLevelType w:val="hybridMultilevel"/>
    <w:tmpl w:val="A6045BB2"/>
    <w:lvl w:ilvl="0" w:tplc="BD0AAE84">
      <w:start w:val="3"/>
      <w:numFmt w:val="bullet"/>
      <w:lvlText w:val="-"/>
      <w:lvlJc w:val="left"/>
      <w:pPr>
        <w:ind w:left="1980" w:hanging="360"/>
      </w:pPr>
      <w:rPr>
        <w:rFonts w:ascii="Times New Roman" w:eastAsia="Times New Roman" w:hAnsi="Times New Roman" w:cs="Times New Roman" w:hint="default"/>
      </w:rPr>
    </w:lvl>
    <w:lvl w:ilvl="1" w:tplc="08090003" w:tentative="1">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E23"/>
    <w:rsid w:val="00001376"/>
    <w:rsid w:val="00007893"/>
    <w:rsid w:val="0001101B"/>
    <w:rsid w:val="000213BB"/>
    <w:rsid w:val="00025654"/>
    <w:rsid w:val="00025749"/>
    <w:rsid w:val="00032D5A"/>
    <w:rsid w:val="00040E71"/>
    <w:rsid w:val="00042468"/>
    <w:rsid w:val="0004756E"/>
    <w:rsid w:val="000532C8"/>
    <w:rsid w:val="00055167"/>
    <w:rsid w:val="00056AD4"/>
    <w:rsid w:val="000633D3"/>
    <w:rsid w:val="0006424F"/>
    <w:rsid w:val="00064677"/>
    <w:rsid w:val="00064A6C"/>
    <w:rsid w:val="00065030"/>
    <w:rsid w:val="000654CE"/>
    <w:rsid w:val="000667FB"/>
    <w:rsid w:val="000710AA"/>
    <w:rsid w:val="000764CB"/>
    <w:rsid w:val="00082784"/>
    <w:rsid w:val="00084385"/>
    <w:rsid w:val="00090E3A"/>
    <w:rsid w:val="00094A3A"/>
    <w:rsid w:val="0009727A"/>
    <w:rsid w:val="000A03E9"/>
    <w:rsid w:val="000A27A5"/>
    <w:rsid w:val="000A3AA6"/>
    <w:rsid w:val="000A78FE"/>
    <w:rsid w:val="000B318C"/>
    <w:rsid w:val="000C05F7"/>
    <w:rsid w:val="000C1E1F"/>
    <w:rsid w:val="000C2D90"/>
    <w:rsid w:val="000C60D4"/>
    <w:rsid w:val="000C628D"/>
    <w:rsid w:val="000C6546"/>
    <w:rsid w:val="000C6C34"/>
    <w:rsid w:val="000D246A"/>
    <w:rsid w:val="000D43B1"/>
    <w:rsid w:val="000D63B7"/>
    <w:rsid w:val="000D70E8"/>
    <w:rsid w:val="000E101E"/>
    <w:rsid w:val="000E3771"/>
    <w:rsid w:val="000E7930"/>
    <w:rsid w:val="000F0C53"/>
    <w:rsid w:val="000F356B"/>
    <w:rsid w:val="00105494"/>
    <w:rsid w:val="00111F01"/>
    <w:rsid w:val="00117660"/>
    <w:rsid w:val="001228AC"/>
    <w:rsid w:val="00123723"/>
    <w:rsid w:val="00134092"/>
    <w:rsid w:val="0014101A"/>
    <w:rsid w:val="00141614"/>
    <w:rsid w:val="00142FBD"/>
    <w:rsid w:val="001455B1"/>
    <w:rsid w:val="001477C7"/>
    <w:rsid w:val="00151085"/>
    <w:rsid w:val="00151592"/>
    <w:rsid w:val="00151961"/>
    <w:rsid w:val="0015201A"/>
    <w:rsid w:val="001521FE"/>
    <w:rsid w:val="00162B02"/>
    <w:rsid w:val="00164612"/>
    <w:rsid w:val="00164BE1"/>
    <w:rsid w:val="00170017"/>
    <w:rsid w:val="00171B45"/>
    <w:rsid w:val="00180D2C"/>
    <w:rsid w:val="00184E80"/>
    <w:rsid w:val="001867C7"/>
    <w:rsid w:val="00191C84"/>
    <w:rsid w:val="00193166"/>
    <w:rsid w:val="00194BE9"/>
    <w:rsid w:val="001968D4"/>
    <w:rsid w:val="001976F0"/>
    <w:rsid w:val="00197D2D"/>
    <w:rsid w:val="001A4B02"/>
    <w:rsid w:val="001A5252"/>
    <w:rsid w:val="001B571A"/>
    <w:rsid w:val="001B5ED4"/>
    <w:rsid w:val="001B7715"/>
    <w:rsid w:val="001C201A"/>
    <w:rsid w:val="001C2500"/>
    <w:rsid w:val="001C6193"/>
    <w:rsid w:val="001C6AE0"/>
    <w:rsid w:val="001D0D18"/>
    <w:rsid w:val="001D6271"/>
    <w:rsid w:val="001E0609"/>
    <w:rsid w:val="001E3B03"/>
    <w:rsid w:val="001F0966"/>
    <w:rsid w:val="001F5FD5"/>
    <w:rsid w:val="00204BDD"/>
    <w:rsid w:val="00205B25"/>
    <w:rsid w:val="0020685F"/>
    <w:rsid w:val="002248F6"/>
    <w:rsid w:val="0022762F"/>
    <w:rsid w:val="00230D2A"/>
    <w:rsid w:val="00232D94"/>
    <w:rsid w:val="00235EB8"/>
    <w:rsid w:val="00236A0F"/>
    <w:rsid w:val="00237AA1"/>
    <w:rsid w:val="0024346E"/>
    <w:rsid w:val="002471B4"/>
    <w:rsid w:val="00247ACF"/>
    <w:rsid w:val="00256786"/>
    <w:rsid w:val="00261AFE"/>
    <w:rsid w:val="00261EFF"/>
    <w:rsid w:val="00265BB1"/>
    <w:rsid w:val="0028014E"/>
    <w:rsid w:val="002879D2"/>
    <w:rsid w:val="00295D1C"/>
    <w:rsid w:val="00296774"/>
    <w:rsid w:val="002A5EC3"/>
    <w:rsid w:val="002B1BFF"/>
    <w:rsid w:val="002B4473"/>
    <w:rsid w:val="002C206A"/>
    <w:rsid w:val="002C2C43"/>
    <w:rsid w:val="002C3274"/>
    <w:rsid w:val="002C3402"/>
    <w:rsid w:val="002C3A8C"/>
    <w:rsid w:val="002C5C25"/>
    <w:rsid w:val="002D3900"/>
    <w:rsid w:val="002E6752"/>
    <w:rsid w:val="002E72D1"/>
    <w:rsid w:val="002F48EA"/>
    <w:rsid w:val="002F4C6A"/>
    <w:rsid w:val="002F6EA7"/>
    <w:rsid w:val="003022DE"/>
    <w:rsid w:val="00307A0F"/>
    <w:rsid w:val="003115DE"/>
    <w:rsid w:val="00312EF6"/>
    <w:rsid w:val="003152ED"/>
    <w:rsid w:val="00324948"/>
    <w:rsid w:val="0033229F"/>
    <w:rsid w:val="00332541"/>
    <w:rsid w:val="00332C07"/>
    <w:rsid w:val="003350C6"/>
    <w:rsid w:val="0033759B"/>
    <w:rsid w:val="00344384"/>
    <w:rsid w:val="003446A3"/>
    <w:rsid w:val="00344DEA"/>
    <w:rsid w:val="00347951"/>
    <w:rsid w:val="003527D6"/>
    <w:rsid w:val="00353287"/>
    <w:rsid w:val="0035539C"/>
    <w:rsid w:val="00355E92"/>
    <w:rsid w:val="003618A6"/>
    <w:rsid w:val="00362A3E"/>
    <w:rsid w:val="003738F8"/>
    <w:rsid w:val="003764B7"/>
    <w:rsid w:val="003843CF"/>
    <w:rsid w:val="00396241"/>
    <w:rsid w:val="003A0A5E"/>
    <w:rsid w:val="003A0CEB"/>
    <w:rsid w:val="003A658F"/>
    <w:rsid w:val="003B3AB6"/>
    <w:rsid w:val="003B48DD"/>
    <w:rsid w:val="003B7511"/>
    <w:rsid w:val="003C0003"/>
    <w:rsid w:val="003C2057"/>
    <w:rsid w:val="003C61A6"/>
    <w:rsid w:val="003D2ABD"/>
    <w:rsid w:val="003D6E05"/>
    <w:rsid w:val="003F157E"/>
    <w:rsid w:val="004004BE"/>
    <w:rsid w:val="00402FE1"/>
    <w:rsid w:val="0040712D"/>
    <w:rsid w:val="004146A7"/>
    <w:rsid w:val="004163AE"/>
    <w:rsid w:val="00422337"/>
    <w:rsid w:val="0042251D"/>
    <w:rsid w:val="0042373F"/>
    <w:rsid w:val="004241ED"/>
    <w:rsid w:val="0042555C"/>
    <w:rsid w:val="004261F8"/>
    <w:rsid w:val="00427263"/>
    <w:rsid w:val="004313C3"/>
    <w:rsid w:val="004362AB"/>
    <w:rsid w:val="00436EC7"/>
    <w:rsid w:val="00443622"/>
    <w:rsid w:val="00446ED9"/>
    <w:rsid w:val="00453C25"/>
    <w:rsid w:val="00455E30"/>
    <w:rsid w:val="0045793C"/>
    <w:rsid w:val="00466B08"/>
    <w:rsid w:val="00467821"/>
    <w:rsid w:val="00472903"/>
    <w:rsid w:val="004739B8"/>
    <w:rsid w:val="00474092"/>
    <w:rsid w:val="00477337"/>
    <w:rsid w:val="0048028D"/>
    <w:rsid w:val="00480F9C"/>
    <w:rsid w:val="00483594"/>
    <w:rsid w:val="0048406F"/>
    <w:rsid w:val="004923F7"/>
    <w:rsid w:val="004A0654"/>
    <w:rsid w:val="004A7937"/>
    <w:rsid w:val="004B179A"/>
    <w:rsid w:val="004C103F"/>
    <w:rsid w:val="004C3CD3"/>
    <w:rsid w:val="004D025B"/>
    <w:rsid w:val="004D488B"/>
    <w:rsid w:val="004D7283"/>
    <w:rsid w:val="004E136B"/>
    <w:rsid w:val="004F2245"/>
    <w:rsid w:val="004F24B3"/>
    <w:rsid w:val="004F45BA"/>
    <w:rsid w:val="004F5483"/>
    <w:rsid w:val="004F7A78"/>
    <w:rsid w:val="00505328"/>
    <w:rsid w:val="00507414"/>
    <w:rsid w:val="0050747B"/>
    <w:rsid w:val="00513475"/>
    <w:rsid w:val="00514D6E"/>
    <w:rsid w:val="00515857"/>
    <w:rsid w:val="0053490A"/>
    <w:rsid w:val="00535400"/>
    <w:rsid w:val="0053559E"/>
    <w:rsid w:val="00537D9D"/>
    <w:rsid w:val="005400AE"/>
    <w:rsid w:val="00542C2D"/>
    <w:rsid w:val="00544168"/>
    <w:rsid w:val="00546C30"/>
    <w:rsid w:val="005515A7"/>
    <w:rsid w:val="005567FC"/>
    <w:rsid w:val="005608B5"/>
    <w:rsid w:val="00564A20"/>
    <w:rsid w:val="00574BAD"/>
    <w:rsid w:val="00575A94"/>
    <w:rsid w:val="00585D06"/>
    <w:rsid w:val="0058660F"/>
    <w:rsid w:val="00586B18"/>
    <w:rsid w:val="00593826"/>
    <w:rsid w:val="005945D7"/>
    <w:rsid w:val="005A0670"/>
    <w:rsid w:val="005A23ED"/>
    <w:rsid w:val="005A2501"/>
    <w:rsid w:val="005A5FAD"/>
    <w:rsid w:val="005C5230"/>
    <w:rsid w:val="005D3FB0"/>
    <w:rsid w:val="005D5B78"/>
    <w:rsid w:val="005E2B4C"/>
    <w:rsid w:val="005F1139"/>
    <w:rsid w:val="005F1642"/>
    <w:rsid w:val="005F469A"/>
    <w:rsid w:val="00602105"/>
    <w:rsid w:val="00603FE7"/>
    <w:rsid w:val="006053D5"/>
    <w:rsid w:val="00614E99"/>
    <w:rsid w:val="00623D41"/>
    <w:rsid w:val="00623E7A"/>
    <w:rsid w:val="00624AC9"/>
    <w:rsid w:val="00631BBB"/>
    <w:rsid w:val="00631C18"/>
    <w:rsid w:val="0063200F"/>
    <w:rsid w:val="00632132"/>
    <w:rsid w:val="00636882"/>
    <w:rsid w:val="0064027F"/>
    <w:rsid w:val="00644AA5"/>
    <w:rsid w:val="00653F36"/>
    <w:rsid w:val="00656EB8"/>
    <w:rsid w:val="006620FB"/>
    <w:rsid w:val="00663F29"/>
    <w:rsid w:val="006670E4"/>
    <w:rsid w:val="00674090"/>
    <w:rsid w:val="006812E2"/>
    <w:rsid w:val="00683890"/>
    <w:rsid w:val="00683D62"/>
    <w:rsid w:val="00696E7B"/>
    <w:rsid w:val="006A00B7"/>
    <w:rsid w:val="006A2702"/>
    <w:rsid w:val="006A2E73"/>
    <w:rsid w:val="006A576F"/>
    <w:rsid w:val="006A6D99"/>
    <w:rsid w:val="006A7700"/>
    <w:rsid w:val="006B0635"/>
    <w:rsid w:val="006B42F4"/>
    <w:rsid w:val="006B5FDF"/>
    <w:rsid w:val="006C64F1"/>
    <w:rsid w:val="006D0539"/>
    <w:rsid w:val="006D45CD"/>
    <w:rsid w:val="006D57C1"/>
    <w:rsid w:val="006D636A"/>
    <w:rsid w:val="006F0E10"/>
    <w:rsid w:val="006F4D00"/>
    <w:rsid w:val="006F60B7"/>
    <w:rsid w:val="006F6CA2"/>
    <w:rsid w:val="006F7F31"/>
    <w:rsid w:val="007011CF"/>
    <w:rsid w:val="00701CD3"/>
    <w:rsid w:val="007035B9"/>
    <w:rsid w:val="007071E4"/>
    <w:rsid w:val="007141D6"/>
    <w:rsid w:val="00727841"/>
    <w:rsid w:val="007312B7"/>
    <w:rsid w:val="007459C3"/>
    <w:rsid w:val="0075024C"/>
    <w:rsid w:val="00761127"/>
    <w:rsid w:val="00765286"/>
    <w:rsid w:val="00767E95"/>
    <w:rsid w:val="00783B3D"/>
    <w:rsid w:val="007902FE"/>
    <w:rsid w:val="00795916"/>
    <w:rsid w:val="007A057B"/>
    <w:rsid w:val="007A063C"/>
    <w:rsid w:val="007A24DF"/>
    <w:rsid w:val="007A502A"/>
    <w:rsid w:val="007A5468"/>
    <w:rsid w:val="007B0EEC"/>
    <w:rsid w:val="007B128F"/>
    <w:rsid w:val="007B2882"/>
    <w:rsid w:val="007B74EA"/>
    <w:rsid w:val="007B7E2D"/>
    <w:rsid w:val="007C6313"/>
    <w:rsid w:val="007D1D6E"/>
    <w:rsid w:val="007D6E49"/>
    <w:rsid w:val="007F00E1"/>
    <w:rsid w:val="007F4048"/>
    <w:rsid w:val="007F6E32"/>
    <w:rsid w:val="00802CD0"/>
    <w:rsid w:val="00804497"/>
    <w:rsid w:val="008048E3"/>
    <w:rsid w:val="00813B8C"/>
    <w:rsid w:val="00813C4A"/>
    <w:rsid w:val="00814FF2"/>
    <w:rsid w:val="00820C41"/>
    <w:rsid w:val="0082411C"/>
    <w:rsid w:val="008253EC"/>
    <w:rsid w:val="0083079C"/>
    <w:rsid w:val="00830ACE"/>
    <w:rsid w:val="008367A9"/>
    <w:rsid w:val="00840049"/>
    <w:rsid w:val="00840EF4"/>
    <w:rsid w:val="008410E7"/>
    <w:rsid w:val="00843332"/>
    <w:rsid w:val="008444C3"/>
    <w:rsid w:val="00844A68"/>
    <w:rsid w:val="00847F65"/>
    <w:rsid w:val="0085629E"/>
    <w:rsid w:val="00856A0B"/>
    <w:rsid w:val="008607AC"/>
    <w:rsid w:val="0086092E"/>
    <w:rsid w:val="00863063"/>
    <w:rsid w:val="00863105"/>
    <w:rsid w:val="008750A9"/>
    <w:rsid w:val="008776FA"/>
    <w:rsid w:val="00877D81"/>
    <w:rsid w:val="00880BD9"/>
    <w:rsid w:val="00881488"/>
    <w:rsid w:val="00882E9D"/>
    <w:rsid w:val="008837E7"/>
    <w:rsid w:val="00893A18"/>
    <w:rsid w:val="008A0821"/>
    <w:rsid w:val="008A1C45"/>
    <w:rsid w:val="008A525E"/>
    <w:rsid w:val="008B6C0B"/>
    <w:rsid w:val="008C0C04"/>
    <w:rsid w:val="008C21CB"/>
    <w:rsid w:val="008C46E8"/>
    <w:rsid w:val="008C6CF4"/>
    <w:rsid w:val="008C7E53"/>
    <w:rsid w:val="008D0476"/>
    <w:rsid w:val="008D23E9"/>
    <w:rsid w:val="008D41D7"/>
    <w:rsid w:val="008D7255"/>
    <w:rsid w:val="008E0203"/>
    <w:rsid w:val="008E0772"/>
    <w:rsid w:val="008E3F50"/>
    <w:rsid w:val="008E6392"/>
    <w:rsid w:val="008E75E0"/>
    <w:rsid w:val="008F3435"/>
    <w:rsid w:val="008F799A"/>
    <w:rsid w:val="009142E0"/>
    <w:rsid w:val="00914C89"/>
    <w:rsid w:val="00922D23"/>
    <w:rsid w:val="0092308D"/>
    <w:rsid w:val="00925CF1"/>
    <w:rsid w:val="00926505"/>
    <w:rsid w:val="00926CAC"/>
    <w:rsid w:val="00927490"/>
    <w:rsid w:val="00927852"/>
    <w:rsid w:val="00930439"/>
    <w:rsid w:val="00930C56"/>
    <w:rsid w:val="0093160C"/>
    <w:rsid w:val="00931F71"/>
    <w:rsid w:val="00944B5F"/>
    <w:rsid w:val="009505AF"/>
    <w:rsid w:val="00951826"/>
    <w:rsid w:val="009543FF"/>
    <w:rsid w:val="00956075"/>
    <w:rsid w:val="00972AA9"/>
    <w:rsid w:val="009731BD"/>
    <w:rsid w:val="00974755"/>
    <w:rsid w:val="009754BD"/>
    <w:rsid w:val="0098095E"/>
    <w:rsid w:val="009872DD"/>
    <w:rsid w:val="009930F5"/>
    <w:rsid w:val="00996B6B"/>
    <w:rsid w:val="009974E5"/>
    <w:rsid w:val="009A2F31"/>
    <w:rsid w:val="009A62BF"/>
    <w:rsid w:val="009B0D79"/>
    <w:rsid w:val="009B2E25"/>
    <w:rsid w:val="009B3A7B"/>
    <w:rsid w:val="009C3332"/>
    <w:rsid w:val="009C402D"/>
    <w:rsid w:val="009C7CDE"/>
    <w:rsid w:val="009E0096"/>
    <w:rsid w:val="009E096D"/>
    <w:rsid w:val="009E3067"/>
    <w:rsid w:val="009E4037"/>
    <w:rsid w:val="00A04FEB"/>
    <w:rsid w:val="00A07460"/>
    <w:rsid w:val="00A157A8"/>
    <w:rsid w:val="00A17707"/>
    <w:rsid w:val="00A203EF"/>
    <w:rsid w:val="00A317D8"/>
    <w:rsid w:val="00A34F27"/>
    <w:rsid w:val="00A35CE8"/>
    <w:rsid w:val="00A44FDE"/>
    <w:rsid w:val="00A47C90"/>
    <w:rsid w:val="00A500D2"/>
    <w:rsid w:val="00A54FB8"/>
    <w:rsid w:val="00A55B5A"/>
    <w:rsid w:val="00A6261F"/>
    <w:rsid w:val="00A67F8E"/>
    <w:rsid w:val="00A7054E"/>
    <w:rsid w:val="00A73530"/>
    <w:rsid w:val="00A738AC"/>
    <w:rsid w:val="00A8033A"/>
    <w:rsid w:val="00A83CC6"/>
    <w:rsid w:val="00A84634"/>
    <w:rsid w:val="00A912E7"/>
    <w:rsid w:val="00A91E23"/>
    <w:rsid w:val="00A92A53"/>
    <w:rsid w:val="00A96DAB"/>
    <w:rsid w:val="00AA603E"/>
    <w:rsid w:val="00AB0F6B"/>
    <w:rsid w:val="00AC2E08"/>
    <w:rsid w:val="00AC3662"/>
    <w:rsid w:val="00AE58F8"/>
    <w:rsid w:val="00AF0770"/>
    <w:rsid w:val="00AF3D6E"/>
    <w:rsid w:val="00AF44A8"/>
    <w:rsid w:val="00AF62C9"/>
    <w:rsid w:val="00B02FE4"/>
    <w:rsid w:val="00B04F42"/>
    <w:rsid w:val="00B06BF0"/>
    <w:rsid w:val="00B126EB"/>
    <w:rsid w:val="00B15D70"/>
    <w:rsid w:val="00B21A88"/>
    <w:rsid w:val="00B23BF0"/>
    <w:rsid w:val="00B31134"/>
    <w:rsid w:val="00B40AA0"/>
    <w:rsid w:val="00B46027"/>
    <w:rsid w:val="00B46185"/>
    <w:rsid w:val="00B462EF"/>
    <w:rsid w:val="00B46F8D"/>
    <w:rsid w:val="00B47D41"/>
    <w:rsid w:val="00B508E3"/>
    <w:rsid w:val="00B52125"/>
    <w:rsid w:val="00B523C3"/>
    <w:rsid w:val="00B541E7"/>
    <w:rsid w:val="00B56A1A"/>
    <w:rsid w:val="00B6595A"/>
    <w:rsid w:val="00B67102"/>
    <w:rsid w:val="00B7253C"/>
    <w:rsid w:val="00B7789D"/>
    <w:rsid w:val="00B82B0C"/>
    <w:rsid w:val="00B90812"/>
    <w:rsid w:val="00B90FCD"/>
    <w:rsid w:val="00B916DB"/>
    <w:rsid w:val="00BA344C"/>
    <w:rsid w:val="00BA7632"/>
    <w:rsid w:val="00BC0806"/>
    <w:rsid w:val="00BD012A"/>
    <w:rsid w:val="00BD1BB6"/>
    <w:rsid w:val="00BE52E5"/>
    <w:rsid w:val="00BF18E5"/>
    <w:rsid w:val="00BF3871"/>
    <w:rsid w:val="00BF46E1"/>
    <w:rsid w:val="00BF503A"/>
    <w:rsid w:val="00BF5A7E"/>
    <w:rsid w:val="00C05356"/>
    <w:rsid w:val="00C05ED9"/>
    <w:rsid w:val="00C20377"/>
    <w:rsid w:val="00C20872"/>
    <w:rsid w:val="00C30900"/>
    <w:rsid w:val="00C33382"/>
    <w:rsid w:val="00C353F1"/>
    <w:rsid w:val="00C47871"/>
    <w:rsid w:val="00C51E53"/>
    <w:rsid w:val="00C5490C"/>
    <w:rsid w:val="00C61541"/>
    <w:rsid w:val="00C61836"/>
    <w:rsid w:val="00C619CF"/>
    <w:rsid w:val="00C629D5"/>
    <w:rsid w:val="00C63EF2"/>
    <w:rsid w:val="00C6574F"/>
    <w:rsid w:val="00C67590"/>
    <w:rsid w:val="00C711FE"/>
    <w:rsid w:val="00C71C30"/>
    <w:rsid w:val="00C73062"/>
    <w:rsid w:val="00C824F9"/>
    <w:rsid w:val="00C83898"/>
    <w:rsid w:val="00C850DE"/>
    <w:rsid w:val="00C86E17"/>
    <w:rsid w:val="00C92EE4"/>
    <w:rsid w:val="00C93354"/>
    <w:rsid w:val="00C97536"/>
    <w:rsid w:val="00C97DF4"/>
    <w:rsid w:val="00CA0C3C"/>
    <w:rsid w:val="00CA30DC"/>
    <w:rsid w:val="00CB0EE6"/>
    <w:rsid w:val="00CC3DE3"/>
    <w:rsid w:val="00CC4C8B"/>
    <w:rsid w:val="00CD153C"/>
    <w:rsid w:val="00CD170C"/>
    <w:rsid w:val="00CD1A15"/>
    <w:rsid w:val="00CD5F79"/>
    <w:rsid w:val="00CD6F97"/>
    <w:rsid w:val="00CE0632"/>
    <w:rsid w:val="00CE5F6E"/>
    <w:rsid w:val="00CE6089"/>
    <w:rsid w:val="00D05C8A"/>
    <w:rsid w:val="00D07778"/>
    <w:rsid w:val="00D07809"/>
    <w:rsid w:val="00D10514"/>
    <w:rsid w:val="00D1334F"/>
    <w:rsid w:val="00D2034B"/>
    <w:rsid w:val="00D217EA"/>
    <w:rsid w:val="00D22009"/>
    <w:rsid w:val="00D26040"/>
    <w:rsid w:val="00D26A3A"/>
    <w:rsid w:val="00D3224C"/>
    <w:rsid w:val="00D330B0"/>
    <w:rsid w:val="00D40496"/>
    <w:rsid w:val="00D406F1"/>
    <w:rsid w:val="00D4164E"/>
    <w:rsid w:val="00D43898"/>
    <w:rsid w:val="00D506B6"/>
    <w:rsid w:val="00D51656"/>
    <w:rsid w:val="00D57C00"/>
    <w:rsid w:val="00D6461A"/>
    <w:rsid w:val="00D71ECB"/>
    <w:rsid w:val="00D72641"/>
    <w:rsid w:val="00D73802"/>
    <w:rsid w:val="00D77613"/>
    <w:rsid w:val="00D90D3C"/>
    <w:rsid w:val="00DA176E"/>
    <w:rsid w:val="00DA2445"/>
    <w:rsid w:val="00DA72DE"/>
    <w:rsid w:val="00DA79D7"/>
    <w:rsid w:val="00DA7B17"/>
    <w:rsid w:val="00DB33FA"/>
    <w:rsid w:val="00DC0CD4"/>
    <w:rsid w:val="00DC10D6"/>
    <w:rsid w:val="00DC253B"/>
    <w:rsid w:val="00DC695B"/>
    <w:rsid w:val="00DE3646"/>
    <w:rsid w:val="00DE3BDC"/>
    <w:rsid w:val="00DE6465"/>
    <w:rsid w:val="00DF30BF"/>
    <w:rsid w:val="00E01541"/>
    <w:rsid w:val="00E10064"/>
    <w:rsid w:val="00E12A02"/>
    <w:rsid w:val="00E13171"/>
    <w:rsid w:val="00E1437F"/>
    <w:rsid w:val="00E148BA"/>
    <w:rsid w:val="00E207BD"/>
    <w:rsid w:val="00E24347"/>
    <w:rsid w:val="00E25015"/>
    <w:rsid w:val="00E30BFA"/>
    <w:rsid w:val="00E33B27"/>
    <w:rsid w:val="00E355CA"/>
    <w:rsid w:val="00E428E5"/>
    <w:rsid w:val="00E44DB1"/>
    <w:rsid w:val="00E44E1A"/>
    <w:rsid w:val="00E51DD6"/>
    <w:rsid w:val="00E54621"/>
    <w:rsid w:val="00E57A4E"/>
    <w:rsid w:val="00E626DE"/>
    <w:rsid w:val="00E6397A"/>
    <w:rsid w:val="00E67A24"/>
    <w:rsid w:val="00E712B5"/>
    <w:rsid w:val="00E75830"/>
    <w:rsid w:val="00E75E00"/>
    <w:rsid w:val="00E808C8"/>
    <w:rsid w:val="00E851F3"/>
    <w:rsid w:val="00E860A7"/>
    <w:rsid w:val="00E86DE9"/>
    <w:rsid w:val="00E87B34"/>
    <w:rsid w:val="00E913E6"/>
    <w:rsid w:val="00E9408F"/>
    <w:rsid w:val="00E94A30"/>
    <w:rsid w:val="00EA0E01"/>
    <w:rsid w:val="00EA4735"/>
    <w:rsid w:val="00EA7516"/>
    <w:rsid w:val="00EB51D1"/>
    <w:rsid w:val="00EB62AA"/>
    <w:rsid w:val="00EC44AD"/>
    <w:rsid w:val="00ED06F0"/>
    <w:rsid w:val="00ED175E"/>
    <w:rsid w:val="00ED681C"/>
    <w:rsid w:val="00EE0BDD"/>
    <w:rsid w:val="00EE0D6C"/>
    <w:rsid w:val="00EE367C"/>
    <w:rsid w:val="00EE4546"/>
    <w:rsid w:val="00EE5EE4"/>
    <w:rsid w:val="00EF1BF7"/>
    <w:rsid w:val="00EF3882"/>
    <w:rsid w:val="00EF6ADD"/>
    <w:rsid w:val="00F03FF2"/>
    <w:rsid w:val="00F07BAB"/>
    <w:rsid w:val="00F1027B"/>
    <w:rsid w:val="00F14971"/>
    <w:rsid w:val="00F16997"/>
    <w:rsid w:val="00F24803"/>
    <w:rsid w:val="00F25BAC"/>
    <w:rsid w:val="00F301B1"/>
    <w:rsid w:val="00F313D5"/>
    <w:rsid w:val="00F366AB"/>
    <w:rsid w:val="00F367AA"/>
    <w:rsid w:val="00F41D7C"/>
    <w:rsid w:val="00F52A33"/>
    <w:rsid w:val="00F56235"/>
    <w:rsid w:val="00F564E0"/>
    <w:rsid w:val="00F6080F"/>
    <w:rsid w:val="00F657E8"/>
    <w:rsid w:val="00F93E1B"/>
    <w:rsid w:val="00F9795C"/>
    <w:rsid w:val="00FA025E"/>
    <w:rsid w:val="00FB2CA6"/>
    <w:rsid w:val="00FB3573"/>
    <w:rsid w:val="00FB4A63"/>
    <w:rsid w:val="00FB56B3"/>
    <w:rsid w:val="00FB7832"/>
    <w:rsid w:val="00FC0CE9"/>
    <w:rsid w:val="00FC15C0"/>
    <w:rsid w:val="00FC33ED"/>
    <w:rsid w:val="00FC6493"/>
    <w:rsid w:val="00FC709F"/>
    <w:rsid w:val="00FD1B23"/>
    <w:rsid w:val="00FD1E54"/>
    <w:rsid w:val="00FD5777"/>
    <w:rsid w:val="00FD5984"/>
    <w:rsid w:val="00FD5CD1"/>
    <w:rsid w:val="00FE3D6E"/>
    <w:rsid w:val="00FE66B7"/>
    <w:rsid w:val="00FF7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5933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E2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91E23"/>
    <w:pPr>
      <w:keepNext/>
      <w:keepLines/>
      <w:spacing w:before="480"/>
      <w:outlineLvl w:val="0"/>
    </w:pPr>
    <w:rPr>
      <w:rFonts w:ascii="Cambria" w:hAnsi="Cambria" w:cs="Cambria"/>
      <w:b/>
      <w:bCs/>
      <w:color w:val="365F91"/>
      <w:sz w:val="28"/>
      <w:szCs w:val="28"/>
    </w:rPr>
  </w:style>
  <w:style w:type="paragraph" w:styleId="Heading2">
    <w:name w:val="heading 2"/>
    <w:basedOn w:val="Normal"/>
    <w:next w:val="Normal"/>
    <w:link w:val="Heading2Char"/>
    <w:uiPriority w:val="9"/>
    <w:unhideWhenUsed/>
    <w:qFormat/>
    <w:rsid w:val="00A91E2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A91E23"/>
    <w:pPr>
      <w:keepNext/>
      <w:keepLines/>
      <w:spacing w:before="200" w:line="276" w:lineRule="auto"/>
      <w:outlineLvl w:val="2"/>
    </w:pPr>
    <w:rPr>
      <w:rFonts w:ascii="Cambria" w:eastAsia="SimSun" w:hAnsi="Cambria"/>
      <w:b/>
      <w:b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1E23"/>
    <w:rPr>
      <w:rFonts w:ascii="Cambria" w:eastAsia="Times New Roman" w:hAnsi="Cambria" w:cs="Cambria"/>
      <w:b/>
      <w:bCs/>
      <w:color w:val="365F91"/>
      <w:sz w:val="28"/>
      <w:szCs w:val="28"/>
    </w:rPr>
  </w:style>
  <w:style w:type="character" w:customStyle="1" w:styleId="Heading2Char">
    <w:name w:val="Heading 2 Char"/>
    <w:basedOn w:val="DefaultParagraphFont"/>
    <w:link w:val="Heading2"/>
    <w:uiPriority w:val="9"/>
    <w:rsid w:val="00A91E23"/>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A91E23"/>
    <w:rPr>
      <w:rFonts w:ascii="Cambria" w:eastAsia="SimSun" w:hAnsi="Cambria" w:cs="Times New Roman"/>
      <w:b/>
      <w:bCs/>
      <w:color w:val="4F81BD"/>
    </w:rPr>
  </w:style>
  <w:style w:type="paragraph" w:styleId="BalloonText">
    <w:name w:val="Balloon Text"/>
    <w:basedOn w:val="Normal"/>
    <w:link w:val="BalloonTextChar"/>
    <w:semiHidden/>
    <w:rsid w:val="00A91E23"/>
    <w:rPr>
      <w:rFonts w:ascii="Tahoma" w:hAnsi="Tahoma" w:cs="Tahoma"/>
      <w:sz w:val="16"/>
      <w:szCs w:val="16"/>
    </w:rPr>
  </w:style>
  <w:style w:type="character" w:customStyle="1" w:styleId="BalloonTextChar">
    <w:name w:val="Balloon Text Char"/>
    <w:basedOn w:val="DefaultParagraphFont"/>
    <w:link w:val="BalloonText"/>
    <w:semiHidden/>
    <w:rsid w:val="00A91E23"/>
    <w:rPr>
      <w:rFonts w:ascii="Tahoma" w:eastAsia="Times New Roman" w:hAnsi="Tahoma" w:cs="Tahoma"/>
      <w:sz w:val="16"/>
      <w:szCs w:val="16"/>
    </w:rPr>
  </w:style>
  <w:style w:type="paragraph" w:styleId="Footer">
    <w:name w:val="footer"/>
    <w:basedOn w:val="Normal"/>
    <w:link w:val="FooterChar"/>
    <w:uiPriority w:val="99"/>
    <w:rsid w:val="00A91E23"/>
    <w:pPr>
      <w:tabs>
        <w:tab w:val="center" w:pos="4320"/>
        <w:tab w:val="right" w:pos="8640"/>
      </w:tabs>
    </w:pPr>
  </w:style>
  <w:style w:type="character" w:customStyle="1" w:styleId="FooterChar">
    <w:name w:val="Footer Char"/>
    <w:basedOn w:val="DefaultParagraphFont"/>
    <w:link w:val="Footer"/>
    <w:uiPriority w:val="99"/>
    <w:rsid w:val="00A91E23"/>
    <w:rPr>
      <w:rFonts w:ascii="Times New Roman" w:eastAsia="Times New Roman" w:hAnsi="Times New Roman" w:cs="Times New Roman"/>
      <w:sz w:val="24"/>
      <w:szCs w:val="24"/>
    </w:rPr>
  </w:style>
  <w:style w:type="character" w:styleId="PageNumber">
    <w:name w:val="page number"/>
    <w:basedOn w:val="DefaultParagraphFont"/>
    <w:rsid w:val="00A91E23"/>
    <w:rPr>
      <w:rFonts w:cs="Times New Roman"/>
    </w:rPr>
  </w:style>
  <w:style w:type="paragraph" w:styleId="FootnoteText">
    <w:name w:val="footnote text"/>
    <w:basedOn w:val="Normal"/>
    <w:link w:val="FootnoteTextChar"/>
    <w:uiPriority w:val="99"/>
    <w:rsid w:val="00A91E23"/>
    <w:rPr>
      <w:sz w:val="20"/>
      <w:szCs w:val="20"/>
    </w:rPr>
  </w:style>
  <w:style w:type="character" w:customStyle="1" w:styleId="FootnoteTextChar">
    <w:name w:val="Footnote Text Char"/>
    <w:basedOn w:val="DefaultParagraphFont"/>
    <w:link w:val="FootnoteText"/>
    <w:uiPriority w:val="99"/>
    <w:rsid w:val="00A91E23"/>
    <w:rPr>
      <w:rFonts w:ascii="Times New Roman" w:eastAsia="Times New Roman" w:hAnsi="Times New Roman" w:cs="Times New Roman"/>
      <w:sz w:val="20"/>
      <w:szCs w:val="20"/>
    </w:rPr>
  </w:style>
  <w:style w:type="character" w:styleId="FootnoteReference">
    <w:name w:val="footnote reference"/>
    <w:basedOn w:val="DefaultParagraphFont"/>
    <w:rsid w:val="00A91E23"/>
    <w:rPr>
      <w:rFonts w:cs="Times New Roman"/>
      <w:vertAlign w:val="superscript"/>
    </w:rPr>
  </w:style>
  <w:style w:type="paragraph" w:styleId="Header">
    <w:name w:val="header"/>
    <w:basedOn w:val="Normal"/>
    <w:link w:val="HeaderChar"/>
    <w:rsid w:val="00A91E23"/>
    <w:pPr>
      <w:tabs>
        <w:tab w:val="center" w:pos="4320"/>
        <w:tab w:val="right" w:pos="8640"/>
      </w:tabs>
    </w:pPr>
  </w:style>
  <w:style w:type="character" w:customStyle="1" w:styleId="HeaderChar">
    <w:name w:val="Header Char"/>
    <w:basedOn w:val="DefaultParagraphFont"/>
    <w:link w:val="Header"/>
    <w:rsid w:val="00A91E23"/>
    <w:rPr>
      <w:rFonts w:ascii="Times New Roman" w:eastAsia="Times New Roman" w:hAnsi="Times New Roman" w:cs="Times New Roman"/>
      <w:sz w:val="24"/>
      <w:szCs w:val="24"/>
    </w:rPr>
  </w:style>
  <w:style w:type="paragraph" w:customStyle="1" w:styleId="reference">
    <w:name w:val="reference"/>
    <w:basedOn w:val="Normal"/>
    <w:rsid w:val="00A91E23"/>
    <w:pPr>
      <w:overflowPunct w:val="0"/>
      <w:autoSpaceDE w:val="0"/>
      <w:autoSpaceDN w:val="0"/>
      <w:adjustRightInd w:val="0"/>
      <w:spacing w:line="360" w:lineRule="auto"/>
      <w:textAlignment w:val="baseline"/>
    </w:pPr>
    <w:rPr>
      <w:sz w:val="20"/>
      <w:szCs w:val="20"/>
      <w:lang w:eastAsia="de-DE"/>
    </w:rPr>
  </w:style>
  <w:style w:type="character" w:styleId="Hyperlink">
    <w:name w:val="Hyperlink"/>
    <w:basedOn w:val="DefaultParagraphFont"/>
    <w:rsid w:val="00A91E23"/>
    <w:rPr>
      <w:rFonts w:cs="Times New Roman"/>
      <w:color w:val="0000FF"/>
      <w:u w:val="single"/>
    </w:rPr>
  </w:style>
  <w:style w:type="table" w:styleId="TableGrid">
    <w:name w:val="Table Grid"/>
    <w:basedOn w:val="TableNormal"/>
    <w:uiPriority w:val="59"/>
    <w:rsid w:val="00A91E23"/>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91E23"/>
    <w:pPr>
      <w:ind w:left="720"/>
      <w:contextualSpacing/>
    </w:pPr>
  </w:style>
  <w:style w:type="character" w:styleId="FollowedHyperlink">
    <w:name w:val="FollowedHyperlink"/>
    <w:basedOn w:val="DefaultParagraphFont"/>
    <w:rsid w:val="00A91E23"/>
    <w:rPr>
      <w:color w:val="800080"/>
      <w:u w:val="single"/>
    </w:rPr>
  </w:style>
  <w:style w:type="paragraph" w:styleId="Caption">
    <w:name w:val="caption"/>
    <w:basedOn w:val="Normal"/>
    <w:next w:val="Normal"/>
    <w:uiPriority w:val="35"/>
    <w:unhideWhenUsed/>
    <w:qFormat/>
    <w:rsid w:val="00A91E23"/>
    <w:pPr>
      <w:spacing w:after="200"/>
    </w:pPr>
    <w:rPr>
      <w:rFonts w:ascii="Calibri" w:eastAsia="Calibri" w:hAnsi="Calibri"/>
      <w:b/>
      <w:bCs/>
      <w:color w:val="4F81BD"/>
      <w:sz w:val="18"/>
      <w:szCs w:val="18"/>
    </w:rPr>
  </w:style>
  <w:style w:type="character" w:customStyle="1" w:styleId="apple-style-span">
    <w:name w:val="apple-style-span"/>
    <w:basedOn w:val="DefaultParagraphFont"/>
    <w:rsid w:val="00A91E23"/>
  </w:style>
  <w:style w:type="character" w:styleId="PlaceholderText">
    <w:name w:val="Placeholder Text"/>
    <w:basedOn w:val="DefaultParagraphFont"/>
    <w:uiPriority w:val="99"/>
    <w:semiHidden/>
    <w:rsid w:val="00A91E23"/>
    <w:rPr>
      <w:color w:val="808080"/>
    </w:rPr>
  </w:style>
  <w:style w:type="paragraph" w:styleId="HTMLPreformatted">
    <w:name w:val="HTML Preformatted"/>
    <w:basedOn w:val="Normal"/>
    <w:link w:val="HTMLPreformattedChar"/>
    <w:uiPriority w:val="99"/>
    <w:semiHidden/>
    <w:unhideWhenUsed/>
    <w:rsid w:val="00A91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zh-CN"/>
    </w:rPr>
  </w:style>
  <w:style w:type="character" w:customStyle="1" w:styleId="HTMLPreformattedChar">
    <w:name w:val="HTML Preformatted Char"/>
    <w:basedOn w:val="DefaultParagraphFont"/>
    <w:link w:val="HTMLPreformatted"/>
    <w:uiPriority w:val="99"/>
    <w:semiHidden/>
    <w:rsid w:val="00A91E23"/>
    <w:rPr>
      <w:rFonts w:ascii="Courier New" w:eastAsia="Times New Roman" w:hAnsi="Courier New" w:cs="Courier New"/>
      <w:sz w:val="20"/>
      <w:szCs w:val="20"/>
      <w:lang w:val="en-GB" w:eastAsia="zh-CN"/>
    </w:rPr>
  </w:style>
  <w:style w:type="character" w:styleId="Emphasis">
    <w:name w:val="Emphasis"/>
    <w:basedOn w:val="DefaultParagraphFont"/>
    <w:uiPriority w:val="20"/>
    <w:qFormat/>
    <w:rsid w:val="00A91E23"/>
    <w:rPr>
      <w:i/>
      <w:iCs/>
    </w:rPr>
  </w:style>
  <w:style w:type="character" w:customStyle="1" w:styleId="apple-converted-space">
    <w:name w:val="apple-converted-space"/>
    <w:basedOn w:val="DefaultParagraphFont"/>
    <w:rsid w:val="00A91E23"/>
  </w:style>
  <w:style w:type="paragraph" w:styleId="NormalWeb">
    <w:name w:val="Normal (Web)"/>
    <w:basedOn w:val="Normal"/>
    <w:uiPriority w:val="99"/>
    <w:semiHidden/>
    <w:unhideWhenUsed/>
    <w:rsid w:val="00A91E23"/>
    <w:pPr>
      <w:spacing w:before="100" w:beforeAutospacing="1" w:after="100" w:afterAutospacing="1"/>
    </w:pPr>
    <w:rPr>
      <w:lang w:val="en-GB"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E2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91E23"/>
    <w:pPr>
      <w:keepNext/>
      <w:keepLines/>
      <w:spacing w:before="480"/>
      <w:outlineLvl w:val="0"/>
    </w:pPr>
    <w:rPr>
      <w:rFonts w:ascii="Cambria" w:hAnsi="Cambria" w:cs="Cambria"/>
      <w:b/>
      <w:bCs/>
      <w:color w:val="365F91"/>
      <w:sz w:val="28"/>
      <w:szCs w:val="28"/>
    </w:rPr>
  </w:style>
  <w:style w:type="paragraph" w:styleId="Heading2">
    <w:name w:val="heading 2"/>
    <w:basedOn w:val="Normal"/>
    <w:next w:val="Normal"/>
    <w:link w:val="Heading2Char"/>
    <w:uiPriority w:val="9"/>
    <w:unhideWhenUsed/>
    <w:qFormat/>
    <w:rsid w:val="00A91E2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A91E23"/>
    <w:pPr>
      <w:keepNext/>
      <w:keepLines/>
      <w:spacing w:before="200" w:line="276" w:lineRule="auto"/>
      <w:outlineLvl w:val="2"/>
    </w:pPr>
    <w:rPr>
      <w:rFonts w:ascii="Cambria" w:eastAsia="SimSun" w:hAnsi="Cambria"/>
      <w:b/>
      <w:b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1E23"/>
    <w:rPr>
      <w:rFonts w:ascii="Cambria" w:eastAsia="Times New Roman" w:hAnsi="Cambria" w:cs="Cambria"/>
      <w:b/>
      <w:bCs/>
      <w:color w:val="365F91"/>
      <w:sz w:val="28"/>
      <w:szCs w:val="28"/>
    </w:rPr>
  </w:style>
  <w:style w:type="character" w:customStyle="1" w:styleId="Heading2Char">
    <w:name w:val="Heading 2 Char"/>
    <w:basedOn w:val="DefaultParagraphFont"/>
    <w:link w:val="Heading2"/>
    <w:uiPriority w:val="9"/>
    <w:rsid w:val="00A91E23"/>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A91E23"/>
    <w:rPr>
      <w:rFonts w:ascii="Cambria" w:eastAsia="SimSun" w:hAnsi="Cambria" w:cs="Times New Roman"/>
      <w:b/>
      <w:bCs/>
      <w:color w:val="4F81BD"/>
    </w:rPr>
  </w:style>
  <w:style w:type="paragraph" w:styleId="BalloonText">
    <w:name w:val="Balloon Text"/>
    <w:basedOn w:val="Normal"/>
    <w:link w:val="BalloonTextChar"/>
    <w:semiHidden/>
    <w:rsid w:val="00A91E23"/>
    <w:rPr>
      <w:rFonts w:ascii="Tahoma" w:hAnsi="Tahoma" w:cs="Tahoma"/>
      <w:sz w:val="16"/>
      <w:szCs w:val="16"/>
    </w:rPr>
  </w:style>
  <w:style w:type="character" w:customStyle="1" w:styleId="BalloonTextChar">
    <w:name w:val="Balloon Text Char"/>
    <w:basedOn w:val="DefaultParagraphFont"/>
    <w:link w:val="BalloonText"/>
    <w:semiHidden/>
    <w:rsid w:val="00A91E23"/>
    <w:rPr>
      <w:rFonts w:ascii="Tahoma" w:eastAsia="Times New Roman" w:hAnsi="Tahoma" w:cs="Tahoma"/>
      <w:sz w:val="16"/>
      <w:szCs w:val="16"/>
    </w:rPr>
  </w:style>
  <w:style w:type="paragraph" w:styleId="Footer">
    <w:name w:val="footer"/>
    <w:basedOn w:val="Normal"/>
    <w:link w:val="FooterChar"/>
    <w:uiPriority w:val="99"/>
    <w:rsid w:val="00A91E23"/>
    <w:pPr>
      <w:tabs>
        <w:tab w:val="center" w:pos="4320"/>
        <w:tab w:val="right" w:pos="8640"/>
      </w:tabs>
    </w:pPr>
  </w:style>
  <w:style w:type="character" w:customStyle="1" w:styleId="FooterChar">
    <w:name w:val="Footer Char"/>
    <w:basedOn w:val="DefaultParagraphFont"/>
    <w:link w:val="Footer"/>
    <w:uiPriority w:val="99"/>
    <w:rsid w:val="00A91E23"/>
    <w:rPr>
      <w:rFonts w:ascii="Times New Roman" w:eastAsia="Times New Roman" w:hAnsi="Times New Roman" w:cs="Times New Roman"/>
      <w:sz w:val="24"/>
      <w:szCs w:val="24"/>
    </w:rPr>
  </w:style>
  <w:style w:type="character" w:styleId="PageNumber">
    <w:name w:val="page number"/>
    <w:basedOn w:val="DefaultParagraphFont"/>
    <w:rsid w:val="00A91E23"/>
    <w:rPr>
      <w:rFonts w:cs="Times New Roman"/>
    </w:rPr>
  </w:style>
  <w:style w:type="paragraph" w:styleId="FootnoteText">
    <w:name w:val="footnote text"/>
    <w:basedOn w:val="Normal"/>
    <w:link w:val="FootnoteTextChar"/>
    <w:uiPriority w:val="99"/>
    <w:rsid w:val="00A91E23"/>
    <w:rPr>
      <w:sz w:val="20"/>
      <w:szCs w:val="20"/>
    </w:rPr>
  </w:style>
  <w:style w:type="character" w:customStyle="1" w:styleId="FootnoteTextChar">
    <w:name w:val="Footnote Text Char"/>
    <w:basedOn w:val="DefaultParagraphFont"/>
    <w:link w:val="FootnoteText"/>
    <w:uiPriority w:val="99"/>
    <w:rsid w:val="00A91E23"/>
    <w:rPr>
      <w:rFonts w:ascii="Times New Roman" w:eastAsia="Times New Roman" w:hAnsi="Times New Roman" w:cs="Times New Roman"/>
      <w:sz w:val="20"/>
      <w:szCs w:val="20"/>
    </w:rPr>
  </w:style>
  <w:style w:type="character" w:styleId="FootnoteReference">
    <w:name w:val="footnote reference"/>
    <w:basedOn w:val="DefaultParagraphFont"/>
    <w:rsid w:val="00A91E23"/>
    <w:rPr>
      <w:rFonts w:cs="Times New Roman"/>
      <w:vertAlign w:val="superscript"/>
    </w:rPr>
  </w:style>
  <w:style w:type="paragraph" w:styleId="Header">
    <w:name w:val="header"/>
    <w:basedOn w:val="Normal"/>
    <w:link w:val="HeaderChar"/>
    <w:rsid w:val="00A91E23"/>
    <w:pPr>
      <w:tabs>
        <w:tab w:val="center" w:pos="4320"/>
        <w:tab w:val="right" w:pos="8640"/>
      </w:tabs>
    </w:pPr>
  </w:style>
  <w:style w:type="character" w:customStyle="1" w:styleId="HeaderChar">
    <w:name w:val="Header Char"/>
    <w:basedOn w:val="DefaultParagraphFont"/>
    <w:link w:val="Header"/>
    <w:rsid w:val="00A91E23"/>
    <w:rPr>
      <w:rFonts w:ascii="Times New Roman" w:eastAsia="Times New Roman" w:hAnsi="Times New Roman" w:cs="Times New Roman"/>
      <w:sz w:val="24"/>
      <w:szCs w:val="24"/>
    </w:rPr>
  </w:style>
  <w:style w:type="paragraph" w:customStyle="1" w:styleId="reference">
    <w:name w:val="reference"/>
    <w:basedOn w:val="Normal"/>
    <w:rsid w:val="00A91E23"/>
    <w:pPr>
      <w:overflowPunct w:val="0"/>
      <w:autoSpaceDE w:val="0"/>
      <w:autoSpaceDN w:val="0"/>
      <w:adjustRightInd w:val="0"/>
      <w:spacing w:line="360" w:lineRule="auto"/>
      <w:textAlignment w:val="baseline"/>
    </w:pPr>
    <w:rPr>
      <w:sz w:val="20"/>
      <w:szCs w:val="20"/>
      <w:lang w:eastAsia="de-DE"/>
    </w:rPr>
  </w:style>
  <w:style w:type="character" w:styleId="Hyperlink">
    <w:name w:val="Hyperlink"/>
    <w:basedOn w:val="DefaultParagraphFont"/>
    <w:rsid w:val="00A91E23"/>
    <w:rPr>
      <w:rFonts w:cs="Times New Roman"/>
      <w:color w:val="0000FF"/>
      <w:u w:val="single"/>
    </w:rPr>
  </w:style>
  <w:style w:type="table" w:styleId="TableGrid">
    <w:name w:val="Table Grid"/>
    <w:basedOn w:val="TableNormal"/>
    <w:uiPriority w:val="59"/>
    <w:rsid w:val="00A91E23"/>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91E23"/>
    <w:pPr>
      <w:ind w:left="720"/>
      <w:contextualSpacing/>
    </w:pPr>
  </w:style>
  <w:style w:type="character" w:styleId="FollowedHyperlink">
    <w:name w:val="FollowedHyperlink"/>
    <w:basedOn w:val="DefaultParagraphFont"/>
    <w:rsid w:val="00A91E23"/>
    <w:rPr>
      <w:color w:val="800080"/>
      <w:u w:val="single"/>
    </w:rPr>
  </w:style>
  <w:style w:type="paragraph" w:styleId="Caption">
    <w:name w:val="caption"/>
    <w:basedOn w:val="Normal"/>
    <w:next w:val="Normal"/>
    <w:uiPriority w:val="35"/>
    <w:unhideWhenUsed/>
    <w:qFormat/>
    <w:rsid w:val="00A91E23"/>
    <w:pPr>
      <w:spacing w:after="200"/>
    </w:pPr>
    <w:rPr>
      <w:rFonts w:ascii="Calibri" w:eastAsia="Calibri" w:hAnsi="Calibri"/>
      <w:b/>
      <w:bCs/>
      <w:color w:val="4F81BD"/>
      <w:sz w:val="18"/>
      <w:szCs w:val="18"/>
    </w:rPr>
  </w:style>
  <w:style w:type="character" w:customStyle="1" w:styleId="apple-style-span">
    <w:name w:val="apple-style-span"/>
    <w:basedOn w:val="DefaultParagraphFont"/>
    <w:rsid w:val="00A91E23"/>
  </w:style>
  <w:style w:type="character" w:styleId="PlaceholderText">
    <w:name w:val="Placeholder Text"/>
    <w:basedOn w:val="DefaultParagraphFont"/>
    <w:uiPriority w:val="99"/>
    <w:semiHidden/>
    <w:rsid w:val="00A91E23"/>
    <w:rPr>
      <w:color w:val="808080"/>
    </w:rPr>
  </w:style>
  <w:style w:type="paragraph" w:styleId="HTMLPreformatted">
    <w:name w:val="HTML Preformatted"/>
    <w:basedOn w:val="Normal"/>
    <w:link w:val="HTMLPreformattedChar"/>
    <w:uiPriority w:val="99"/>
    <w:semiHidden/>
    <w:unhideWhenUsed/>
    <w:rsid w:val="00A91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zh-CN"/>
    </w:rPr>
  </w:style>
  <w:style w:type="character" w:customStyle="1" w:styleId="HTMLPreformattedChar">
    <w:name w:val="HTML Preformatted Char"/>
    <w:basedOn w:val="DefaultParagraphFont"/>
    <w:link w:val="HTMLPreformatted"/>
    <w:uiPriority w:val="99"/>
    <w:semiHidden/>
    <w:rsid w:val="00A91E23"/>
    <w:rPr>
      <w:rFonts w:ascii="Courier New" w:eastAsia="Times New Roman" w:hAnsi="Courier New" w:cs="Courier New"/>
      <w:sz w:val="20"/>
      <w:szCs w:val="20"/>
      <w:lang w:val="en-GB" w:eastAsia="zh-CN"/>
    </w:rPr>
  </w:style>
  <w:style w:type="character" w:styleId="Emphasis">
    <w:name w:val="Emphasis"/>
    <w:basedOn w:val="DefaultParagraphFont"/>
    <w:uiPriority w:val="20"/>
    <w:qFormat/>
    <w:rsid w:val="00A91E23"/>
    <w:rPr>
      <w:i/>
      <w:iCs/>
    </w:rPr>
  </w:style>
  <w:style w:type="character" w:customStyle="1" w:styleId="apple-converted-space">
    <w:name w:val="apple-converted-space"/>
    <w:basedOn w:val="DefaultParagraphFont"/>
    <w:rsid w:val="00A91E23"/>
  </w:style>
  <w:style w:type="paragraph" w:styleId="NormalWeb">
    <w:name w:val="Normal (Web)"/>
    <w:basedOn w:val="Normal"/>
    <w:uiPriority w:val="99"/>
    <w:semiHidden/>
    <w:unhideWhenUsed/>
    <w:rsid w:val="00A91E23"/>
    <w:pPr>
      <w:spacing w:before="100" w:beforeAutospacing="1" w:after="100" w:afterAutospacing="1"/>
    </w:pPr>
    <w:rPr>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092318">
      <w:bodyDiv w:val="1"/>
      <w:marLeft w:val="0"/>
      <w:marRight w:val="0"/>
      <w:marTop w:val="0"/>
      <w:marBottom w:val="0"/>
      <w:divBdr>
        <w:top w:val="none" w:sz="0" w:space="0" w:color="auto"/>
        <w:left w:val="none" w:sz="0" w:space="0" w:color="auto"/>
        <w:bottom w:val="none" w:sz="0" w:space="0" w:color="auto"/>
        <w:right w:val="none" w:sz="0" w:space="0" w:color="auto"/>
      </w:divBdr>
    </w:div>
    <w:div w:id="724765983">
      <w:bodyDiv w:val="1"/>
      <w:marLeft w:val="0"/>
      <w:marRight w:val="0"/>
      <w:marTop w:val="0"/>
      <w:marBottom w:val="0"/>
      <w:divBdr>
        <w:top w:val="none" w:sz="0" w:space="0" w:color="auto"/>
        <w:left w:val="none" w:sz="0" w:space="0" w:color="auto"/>
        <w:bottom w:val="none" w:sz="0" w:space="0" w:color="auto"/>
        <w:right w:val="none" w:sz="0" w:space="0" w:color="auto"/>
      </w:divBdr>
    </w:div>
    <w:div w:id="796410358">
      <w:bodyDiv w:val="1"/>
      <w:marLeft w:val="0"/>
      <w:marRight w:val="0"/>
      <w:marTop w:val="0"/>
      <w:marBottom w:val="0"/>
      <w:divBdr>
        <w:top w:val="none" w:sz="0" w:space="0" w:color="auto"/>
        <w:left w:val="none" w:sz="0" w:space="0" w:color="auto"/>
        <w:bottom w:val="none" w:sz="0" w:space="0" w:color="auto"/>
        <w:right w:val="none" w:sz="0" w:space="0" w:color="auto"/>
      </w:divBdr>
    </w:div>
    <w:div w:id="1186481012">
      <w:bodyDiv w:val="1"/>
      <w:marLeft w:val="0"/>
      <w:marRight w:val="0"/>
      <w:marTop w:val="0"/>
      <w:marBottom w:val="0"/>
      <w:divBdr>
        <w:top w:val="none" w:sz="0" w:space="0" w:color="auto"/>
        <w:left w:val="none" w:sz="0" w:space="0" w:color="auto"/>
        <w:bottom w:val="none" w:sz="0" w:space="0" w:color="auto"/>
        <w:right w:val="none" w:sz="0" w:space="0" w:color="auto"/>
      </w:divBdr>
      <w:divsChild>
        <w:div w:id="1073695087">
          <w:marLeft w:val="0"/>
          <w:marRight w:val="0"/>
          <w:marTop w:val="0"/>
          <w:marBottom w:val="0"/>
          <w:divBdr>
            <w:top w:val="none" w:sz="0" w:space="0" w:color="auto"/>
            <w:left w:val="none" w:sz="0" w:space="0" w:color="auto"/>
            <w:bottom w:val="none" w:sz="0" w:space="0" w:color="auto"/>
            <w:right w:val="none" w:sz="0" w:space="0" w:color="auto"/>
          </w:divBdr>
          <w:divsChild>
            <w:div w:id="1211916680">
              <w:marLeft w:val="0"/>
              <w:marRight w:val="0"/>
              <w:marTop w:val="0"/>
              <w:marBottom w:val="0"/>
              <w:divBdr>
                <w:top w:val="none" w:sz="0" w:space="0" w:color="auto"/>
                <w:left w:val="none" w:sz="0" w:space="0" w:color="auto"/>
                <w:bottom w:val="none" w:sz="0" w:space="0" w:color="auto"/>
                <w:right w:val="none" w:sz="0" w:space="0" w:color="auto"/>
              </w:divBdr>
              <w:divsChild>
                <w:div w:id="597105801">
                  <w:marLeft w:val="0"/>
                  <w:marRight w:val="0"/>
                  <w:marTop w:val="0"/>
                  <w:marBottom w:val="0"/>
                  <w:divBdr>
                    <w:top w:val="none" w:sz="0" w:space="0" w:color="auto"/>
                    <w:left w:val="none" w:sz="0" w:space="0" w:color="auto"/>
                    <w:bottom w:val="none" w:sz="0" w:space="0" w:color="auto"/>
                    <w:right w:val="none" w:sz="0" w:space="0" w:color="auto"/>
                  </w:divBdr>
                  <w:divsChild>
                    <w:div w:id="1421490394">
                      <w:marLeft w:val="0"/>
                      <w:marRight w:val="0"/>
                      <w:marTop w:val="0"/>
                      <w:marBottom w:val="0"/>
                      <w:divBdr>
                        <w:top w:val="none" w:sz="0" w:space="0" w:color="auto"/>
                        <w:left w:val="none" w:sz="0" w:space="0" w:color="auto"/>
                        <w:bottom w:val="none" w:sz="0" w:space="0" w:color="auto"/>
                        <w:right w:val="none" w:sz="0" w:space="0" w:color="auto"/>
                      </w:divBdr>
                      <w:divsChild>
                        <w:div w:id="1909148206">
                          <w:marLeft w:val="0"/>
                          <w:marRight w:val="0"/>
                          <w:marTop w:val="0"/>
                          <w:marBottom w:val="0"/>
                          <w:divBdr>
                            <w:top w:val="none" w:sz="0" w:space="0" w:color="auto"/>
                            <w:left w:val="none" w:sz="0" w:space="0" w:color="auto"/>
                            <w:bottom w:val="none" w:sz="0" w:space="0" w:color="auto"/>
                            <w:right w:val="none" w:sz="0" w:space="0" w:color="auto"/>
                          </w:divBdr>
                          <w:divsChild>
                            <w:div w:id="1610620426">
                              <w:marLeft w:val="0"/>
                              <w:marRight w:val="0"/>
                              <w:marTop w:val="0"/>
                              <w:marBottom w:val="0"/>
                              <w:divBdr>
                                <w:top w:val="none" w:sz="0" w:space="0" w:color="auto"/>
                                <w:left w:val="none" w:sz="0" w:space="0" w:color="auto"/>
                                <w:bottom w:val="none" w:sz="0" w:space="0" w:color="auto"/>
                                <w:right w:val="none" w:sz="0" w:space="0" w:color="auto"/>
                              </w:divBdr>
                              <w:divsChild>
                                <w:div w:id="297885004">
                                  <w:marLeft w:val="0"/>
                                  <w:marRight w:val="0"/>
                                  <w:marTop w:val="0"/>
                                  <w:marBottom w:val="0"/>
                                  <w:divBdr>
                                    <w:top w:val="none" w:sz="0" w:space="0" w:color="auto"/>
                                    <w:left w:val="none" w:sz="0" w:space="0" w:color="auto"/>
                                    <w:bottom w:val="none" w:sz="0" w:space="0" w:color="auto"/>
                                    <w:right w:val="none" w:sz="0" w:space="0" w:color="auto"/>
                                  </w:divBdr>
                                  <w:divsChild>
                                    <w:div w:id="1862082812">
                                      <w:marLeft w:val="0"/>
                                      <w:marRight w:val="0"/>
                                      <w:marTop w:val="0"/>
                                      <w:marBottom w:val="0"/>
                                      <w:divBdr>
                                        <w:top w:val="none" w:sz="0" w:space="0" w:color="auto"/>
                                        <w:left w:val="none" w:sz="0" w:space="0" w:color="auto"/>
                                        <w:bottom w:val="none" w:sz="0" w:space="0" w:color="auto"/>
                                        <w:right w:val="none" w:sz="0" w:space="0" w:color="auto"/>
                                      </w:divBdr>
                                    </w:div>
                                    <w:div w:id="209014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nber.org/people/robert_feenstra" TargetMode="External"/><Relationship Id="rId12" Type="http://schemas.openxmlformats.org/officeDocument/2006/relationships/hyperlink" Target="http://www.nber.org/people/robert_lipsey" TargetMode="External"/><Relationship Id="rId13" Type="http://schemas.openxmlformats.org/officeDocument/2006/relationships/hyperlink" Target="http://www.nber.org/people/haiyan_deng"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mailto:daniel.bernhofen@nottingha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8D681-09CA-7B4F-9403-FF31A735B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11726</Words>
  <Characters>66841</Characters>
  <Application>Microsoft Macintosh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78411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Zouheir El-Sahli</cp:lastModifiedBy>
  <cp:revision>2</cp:revision>
  <cp:lastPrinted>2013-02-14T00:13:00Z</cp:lastPrinted>
  <dcterms:created xsi:type="dcterms:W3CDTF">2013-02-14T19:04:00Z</dcterms:created>
  <dcterms:modified xsi:type="dcterms:W3CDTF">2013-02-14T19:04:00Z</dcterms:modified>
</cp:coreProperties>
</file>